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8916" w14:textId="04B77DAB" w:rsidR="00E203C2" w:rsidRDefault="00E203C2" w:rsidP="00E203C2">
      <w:r>
        <w:rPr>
          <w:noProof/>
          <w:lang w:eastAsia="en-GB" w:bidi="ar-SA"/>
        </w:rPr>
        <w:drawing>
          <wp:inline distT="0" distB="0" distL="0" distR="0" wp14:anchorId="3A74BD93" wp14:editId="0E5CB34F">
            <wp:extent cx="3488400" cy="612000"/>
            <wp:effectExtent l="0" t="0" r="0" b="0"/>
            <wp:docPr id="3" name="Picture 3" descr="Food Standards Australia New Zealand"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A9FC991" w14:textId="77777777" w:rsidR="00E203C2" w:rsidRPr="0038704F" w:rsidRDefault="00E203C2" w:rsidP="00E203C2"/>
    <w:p w14:paraId="4F047879" w14:textId="498AF0B7" w:rsidR="00BA24E2" w:rsidRPr="0038704F" w:rsidRDefault="00935D5C" w:rsidP="00BA24E2">
      <w:pPr>
        <w:rPr>
          <w:b/>
          <w:sz w:val="28"/>
          <w:szCs w:val="28"/>
        </w:rPr>
      </w:pPr>
      <w:bookmarkStart w:id="0" w:name="_Hlk125547017"/>
      <w:r w:rsidRPr="0038704F">
        <w:rPr>
          <w:b/>
          <w:sz w:val="28"/>
          <w:szCs w:val="28"/>
        </w:rPr>
        <w:t>30 January 2023</w:t>
      </w:r>
    </w:p>
    <w:p w14:paraId="798E87A8" w14:textId="61B01134" w:rsidR="00BA24E2" w:rsidRPr="0038704F" w:rsidRDefault="0038704F" w:rsidP="00BA24E2">
      <w:pPr>
        <w:rPr>
          <w:b/>
          <w:sz w:val="28"/>
          <w:szCs w:val="28"/>
        </w:rPr>
      </w:pPr>
      <w:r w:rsidRPr="0038704F">
        <w:rPr>
          <w:b/>
          <w:sz w:val="28"/>
          <w:szCs w:val="28"/>
        </w:rPr>
        <w:t>228-23</w:t>
      </w:r>
    </w:p>
    <w:bookmarkEnd w:id="0"/>
    <w:p w14:paraId="6BF71FBB" w14:textId="77777777" w:rsidR="00BA24E2" w:rsidRDefault="00BA24E2" w:rsidP="00E203C2"/>
    <w:p w14:paraId="028931C3" w14:textId="7A180EDD" w:rsidR="00D056F1" w:rsidRPr="00F227AD"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w:t>
      </w:r>
      <w:r w:rsidR="00F227AD">
        <w:rPr>
          <w:b/>
        </w:rPr>
        <w:t xml:space="preserve"> </w:t>
      </w:r>
      <w:r w:rsidR="00E203C2" w:rsidRPr="00F227AD">
        <w:rPr>
          <w:b/>
        </w:rPr>
        <w:t>P</w:t>
      </w:r>
      <w:r w:rsidR="00A91DF1" w:rsidRPr="00F227AD">
        <w:rPr>
          <w:b/>
        </w:rPr>
        <w:t>roposal</w:t>
      </w:r>
      <w:r w:rsidR="00D056F1" w:rsidRPr="00F227AD">
        <w:rPr>
          <w:b/>
        </w:rPr>
        <w:t xml:space="preserve"> </w:t>
      </w:r>
      <w:r w:rsidR="00E203C2" w:rsidRPr="00F227AD">
        <w:rPr>
          <w:b/>
        </w:rPr>
        <w:t>P</w:t>
      </w:r>
      <w:r w:rsidR="00001F2F" w:rsidRPr="00F227AD">
        <w:rPr>
          <w:b/>
        </w:rPr>
        <w:t>1061</w:t>
      </w:r>
    </w:p>
    <w:p w14:paraId="6446BDCF" w14:textId="77777777" w:rsidR="00E203C2" w:rsidRPr="00F227AD" w:rsidRDefault="00E203C2" w:rsidP="00E203C2"/>
    <w:p w14:paraId="08ECA258" w14:textId="678F1DAE" w:rsidR="00D056F1" w:rsidRPr="00F227AD" w:rsidRDefault="00B33BCB" w:rsidP="002432EE">
      <w:pPr>
        <w:pStyle w:val="FSTitle"/>
      </w:pPr>
      <w:r w:rsidRPr="00A94DF4">
        <w:t>C</w:t>
      </w:r>
      <w:r w:rsidR="0052783A" w:rsidRPr="00A94DF4">
        <w:t xml:space="preserve">ode </w:t>
      </w:r>
      <w:r w:rsidRPr="00A94DF4">
        <w:t>M</w:t>
      </w:r>
      <w:r w:rsidR="0052783A" w:rsidRPr="00A94DF4">
        <w:t xml:space="preserve">aintenance </w:t>
      </w:r>
      <w:r w:rsidRPr="00A94DF4">
        <w:t>P</w:t>
      </w:r>
      <w:r w:rsidR="0052783A" w:rsidRPr="00A94DF4">
        <w:t xml:space="preserve">roposal </w:t>
      </w:r>
      <w:r w:rsidRPr="00A94DF4">
        <w:t>2023</w:t>
      </w:r>
    </w:p>
    <w:p w14:paraId="791CC2E9" w14:textId="77777777" w:rsidR="00E203C2" w:rsidRPr="00E81F6E" w:rsidRDefault="00E203C2" w:rsidP="00E203C2">
      <w:pPr>
        <w:pBdr>
          <w:bottom w:val="single" w:sz="12" w:space="1" w:color="auto"/>
        </w:pBdr>
        <w:spacing w:line="280" w:lineRule="exact"/>
        <w:rPr>
          <w:rFonts w:cs="Arial"/>
          <w:bCs/>
        </w:rPr>
      </w:pPr>
    </w:p>
    <w:p w14:paraId="5F6E66A5" w14:textId="77777777" w:rsidR="00E203C2" w:rsidRPr="00E81F6E" w:rsidRDefault="00E203C2" w:rsidP="00E203C2"/>
    <w:p w14:paraId="0FE2836D" w14:textId="09C9E6C0" w:rsidR="00770E82" w:rsidRPr="00A41C89" w:rsidRDefault="00770E82" w:rsidP="00770E82">
      <w:pPr>
        <w:rPr>
          <w:sz w:val="20"/>
          <w:szCs w:val="20"/>
        </w:rPr>
      </w:pPr>
      <w:r>
        <w:rPr>
          <w:sz w:val="20"/>
          <w:szCs w:val="20"/>
        </w:rPr>
        <w:t>Food Standards Australia New Zealand (</w:t>
      </w:r>
      <w:r w:rsidRPr="00A41C89">
        <w:rPr>
          <w:sz w:val="20"/>
          <w:szCs w:val="20"/>
        </w:rPr>
        <w:t>FSANZ</w:t>
      </w:r>
      <w:r>
        <w:rPr>
          <w:sz w:val="20"/>
          <w:szCs w:val="20"/>
        </w:rPr>
        <w:t>)</w:t>
      </w:r>
      <w:r w:rsidRPr="00A41C89">
        <w:rPr>
          <w:sz w:val="20"/>
          <w:szCs w:val="20"/>
        </w:rPr>
        <w:t xml:space="preserve"> has assessed a proposal prepared</w:t>
      </w:r>
      <w:r w:rsidRPr="008240A8">
        <w:t xml:space="preserve"> </w:t>
      </w:r>
      <w:r w:rsidRPr="008240A8">
        <w:rPr>
          <w:sz w:val="20"/>
          <w:szCs w:val="20"/>
        </w:rPr>
        <w:t xml:space="preserve">to make </w:t>
      </w:r>
      <w:r w:rsidR="002F4FE9">
        <w:rPr>
          <w:sz w:val="20"/>
          <w:szCs w:val="20"/>
        </w:rPr>
        <w:t xml:space="preserve">relatively </w:t>
      </w:r>
      <w:r w:rsidRPr="008240A8">
        <w:rPr>
          <w:sz w:val="20"/>
          <w:szCs w:val="20"/>
        </w:rPr>
        <w:t>minor amendments</w:t>
      </w:r>
      <w:r>
        <w:rPr>
          <w:sz w:val="20"/>
          <w:szCs w:val="20"/>
        </w:rPr>
        <w:t>,</w:t>
      </w:r>
      <w:r w:rsidRPr="008240A8">
        <w:rPr>
          <w:sz w:val="20"/>
          <w:szCs w:val="20"/>
        </w:rPr>
        <w:t xml:space="preserve"> including</w:t>
      </w:r>
      <w:r w:rsidR="00AA26C4">
        <w:rPr>
          <w:sz w:val="20"/>
          <w:szCs w:val="20"/>
        </w:rPr>
        <w:t>;</w:t>
      </w:r>
      <w:r w:rsidR="000F7DC8">
        <w:rPr>
          <w:sz w:val="20"/>
          <w:szCs w:val="20"/>
        </w:rPr>
        <w:t xml:space="preserve"> t</w:t>
      </w:r>
      <w:r w:rsidRPr="008240A8">
        <w:rPr>
          <w:sz w:val="20"/>
          <w:szCs w:val="20"/>
        </w:rPr>
        <w:t>he correction of typographical errors</w:t>
      </w:r>
      <w:r>
        <w:rPr>
          <w:sz w:val="20"/>
          <w:szCs w:val="20"/>
        </w:rPr>
        <w:t xml:space="preserve">, </w:t>
      </w:r>
      <w:r w:rsidR="00AA26C4">
        <w:rPr>
          <w:sz w:val="20"/>
          <w:szCs w:val="20"/>
        </w:rPr>
        <w:t>omissions</w:t>
      </w:r>
      <w:r w:rsidR="008244A4">
        <w:rPr>
          <w:sz w:val="20"/>
          <w:szCs w:val="20"/>
        </w:rPr>
        <w:t>, inconsistencies</w:t>
      </w:r>
      <w:r w:rsidR="00AA26C4">
        <w:rPr>
          <w:sz w:val="20"/>
          <w:szCs w:val="20"/>
        </w:rPr>
        <w:t xml:space="preserve"> and </w:t>
      </w:r>
      <w:r w:rsidRPr="00AB581B">
        <w:rPr>
          <w:sz w:val="20"/>
          <w:szCs w:val="20"/>
        </w:rPr>
        <w:t>formatting issues</w:t>
      </w:r>
      <w:r w:rsidR="00AA26C4">
        <w:rPr>
          <w:sz w:val="20"/>
          <w:szCs w:val="20"/>
        </w:rPr>
        <w:t>;</w:t>
      </w:r>
      <w:r w:rsidRPr="00AB581B">
        <w:rPr>
          <w:sz w:val="20"/>
          <w:szCs w:val="20"/>
        </w:rPr>
        <w:t xml:space="preserve"> updating references</w:t>
      </w:r>
      <w:r w:rsidR="002F4FE9">
        <w:rPr>
          <w:sz w:val="20"/>
          <w:szCs w:val="20"/>
        </w:rPr>
        <w:t>;</w:t>
      </w:r>
      <w:r w:rsidR="00B9260F">
        <w:rPr>
          <w:sz w:val="20"/>
          <w:szCs w:val="20"/>
        </w:rPr>
        <w:t xml:space="preserve"> and amending </w:t>
      </w:r>
      <w:r w:rsidR="00E06DD0" w:rsidRPr="00E06DD0">
        <w:rPr>
          <w:sz w:val="20"/>
          <w:szCs w:val="20"/>
        </w:rPr>
        <w:t>editorial Notes</w:t>
      </w:r>
      <w:r w:rsidR="008F4632">
        <w:rPr>
          <w:sz w:val="20"/>
          <w:szCs w:val="20"/>
        </w:rPr>
        <w:t xml:space="preserve"> </w:t>
      </w:r>
      <w:r w:rsidR="00B9260F">
        <w:rPr>
          <w:sz w:val="20"/>
          <w:szCs w:val="20"/>
        </w:rPr>
        <w:t xml:space="preserve">to </w:t>
      </w:r>
      <w:r w:rsidR="00B9260F" w:rsidRPr="000F7DC8">
        <w:rPr>
          <w:sz w:val="20"/>
          <w:szCs w:val="20"/>
        </w:rPr>
        <w:t xml:space="preserve">reflect </w:t>
      </w:r>
      <w:r w:rsidR="00B9260F">
        <w:rPr>
          <w:sz w:val="20"/>
          <w:szCs w:val="20"/>
        </w:rPr>
        <w:t xml:space="preserve">the </w:t>
      </w:r>
      <w:r w:rsidR="00B9260F" w:rsidRPr="000F7DC8">
        <w:rPr>
          <w:sz w:val="20"/>
          <w:szCs w:val="20"/>
        </w:rPr>
        <w:t>N</w:t>
      </w:r>
      <w:r w:rsidR="00B9260F">
        <w:rPr>
          <w:sz w:val="20"/>
          <w:szCs w:val="20"/>
        </w:rPr>
        <w:t xml:space="preserve">ew </w:t>
      </w:r>
      <w:r w:rsidR="00B9260F" w:rsidRPr="000F7DC8">
        <w:rPr>
          <w:sz w:val="20"/>
          <w:szCs w:val="20"/>
        </w:rPr>
        <w:t>Z</w:t>
      </w:r>
      <w:r w:rsidR="00B9260F">
        <w:rPr>
          <w:sz w:val="20"/>
          <w:szCs w:val="20"/>
        </w:rPr>
        <w:t>ealand</w:t>
      </w:r>
      <w:r w:rsidR="00B9260F" w:rsidRPr="000F7DC8">
        <w:rPr>
          <w:sz w:val="20"/>
          <w:szCs w:val="20"/>
        </w:rPr>
        <w:t xml:space="preserve"> </w:t>
      </w:r>
      <w:r w:rsidR="00B9260F">
        <w:rPr>
          <w:sz w:val="20"/>
          <w:szCs w:val="20"/>
        </w:rPr>
        <w:t>Government</w:t>
      </w:r>
      <w:r w:rsidR="00804FB0">
        <w:rPr>
          <w:sz w:val="20"/>
          <w:szCs w:val="20"/>
        </w:rPr>
        <w:t>’s</w:t>
      </w:r>
      <w:r w:rsidR="00B9260F">
        <w:rPr>
          <w:sz w:val="20"/>
          <w:szCs w:val="20"/>
        </w:rPr>
        <w:t xml:space="preserve"> decision to require </w:t>
      </w:r>
      <w:r w:rsidR="00B9260F" w:rsidRPr="000F7DC8">
        <w:rPr>
          <w:sz w:val="20"/>
          <w:szCs w:val="20"/>
        </w:rPr>
        <w:t xml:space="preserve">mandatory </w:t>
      </w:r>
      <w:r w:rsidR="00B9260F">
        <w:rPr>
          <w:sz w:val="20"/>
          <w:szCs w:val="20"/>
        </w:rPr>
        <w:t>addition</w:t>
      </w:r>
      <w:r w:rsidR="00B9260F" w:rsidRPr="000F7DC8">
        <w:rPr>
          <w:sz w:val="20"/>
          <w:szCs w:val="20"/>
        </w:rPr>
        <w:t xml:space="preserve"> of folic acid</w:t>
      </w:r>
      <w:r w:rsidR="00B9260F">
        <w:rPr>
          <w:sz w:val="20"/>
          <w:szCs w:val="20"/>
        </w:rPr>
        <w:t xml:space="preserve"> </w:t>
      </w:r>
      <w:r w:rsidR="00B9260F" w:rsidRPr="001A5922">
        <w:rPr>
          <w:sz w:val="20"/>
          <w:szCs w:val="20"/>
        </w:rPr>
        <w:t>to all wheat flour sold as suitable for bread-making in New Zealand</w:t>
      </w:r>
      <w:r>
        <w:rPr>
          <w:sz w:val="20"/>
          <w:szCs w:val="20"/>
        </w:rPr>
        <w:t xml:space="preserve">, </w:t>
      </w:r>
      <w:r w:rsidRPr="00A41C89">
        <w:rPr>
          <w:sz w:val="20"/>
          <w:szCs w:val="20"/>
        </w:rPr>
        <w:t xml:space="preserve">and has prepared a draft food regulatory measure. Pursuant to section 61 of the </w:t>
      </w:r>
      <w:r w:rsidRPr="00A41C89">
        <w:rPr>
          <w:i/>
          <w:sz w:val="20"/>
          <w:szCs w:val="20"/>
        </w:rPr>
        <w:t xml:space="preserve">Food Standards Australia New Zealand Act 1991 </w:t>
      </w:r>
      <w:r w:rsidRPr="00A41C89">
        <w:rPr>
          <w:sz w:val="20"/>
          <w:szCs w:val="20"/>
        </w:rPr>
        <w:t>(FSANZ Act), FSANZ now calls for submissions to assist consideration of the draft food regulatory measure.</w:t>
      </w:r>
    </w:p>
    <w:p w14:paraId="700BEADB" w14:textId="77777777" w:rsidR="00413CA8" w:rsidRPr="007C174F" w:rsidRDefault="00413CA8" w:rsidP="00E203C2">
      <w:pPr>
        <w:rPr>
          <w:sz w:val="20"/>
          <w:szCs w:val="20"/>
        </w:rPr>
      </w:pPr>
    </w:p>
    <w:p w14:paraId="143DCC1F"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4" w:history="1">
        <w:r w:rsidR="006156A8" w:rsidRPr="00F41DA5">
          <w:rPr>
            <w:rStyle w:val="Hyperlink"/>
            <w:sz w:val="20"/>
            <w:szCs w:val="20"/>
            <w:lang w:val="en-AU"/>
          </w:rPr>
          <w:t>current calls for public comment and how to make a submission</w:t>
        </w:r>
      </w:hyperlink>
      <w:r w:rsidR="00351B07" w:rsidRPr="007C174F">
        <w:rPr>
          <w:sz w:val="20"/>
          <w:szCs w:val="20"/>
        </w:rPr>
        <w:t>.</w:t>
      </w:r>
    </w:p>
    <w:p w14:paraId="21CC7EC8" w14:textId="77777777" w:rsidR="00D81D38" w:rsidRPr="00276026" w:rsidRDefault="00D81D38" w:rsidP="00276026">
      <w:pPr>
        <w:rPr>
          <w:sz w:val="20"/>
          <w:szCs w:val="20"/>
        </w:rPr>
      </w:pPr>
    </w:p>
    <w:p w14:paraId="3D287701" w14:textId="054A4097" w:rsidR="00876515" w:rsidRDefault="00276026" w:rsidP="00526B53">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002C6A66">
        <w:rPr>
          <w:sz w:val="20"/>
          <w:szCs w:val="20"/>
        </w:rPr>
        <w:t xml:space="preserve">. </w:t>
      </w:r>
      <w:r w:rsidRPr="00276026">
        <w:rPr>
          <w:sz w:val="20"/>
          <w:szCs w:val="20"/>
        </w:rPr>
        <w:t xml:space="preserve">In-confidence submissions may be subject to release under the provisions of the </w:t>
      </w:r>
      <w:r w:rsidRPr="00276026">
        <w:rPr>
          <w:i/>
          <w:iCs/>
          <w:sz w:val="20"/>
          <w:szCs w:val="20"/>
        </w:rPr>
        <w:t>Freedom of Information Act 19</w:t>
      </w:r>
      <w:r w:rsidR="00C32047">
        <w:rPr>
          <w:i/>
          <w:iCs/>
          <w:sz w:val="20"/>
          <w:szCs w:val="20"/>
        </w:rPr>
        <w:t>82</w:t>
      </w:r>
      <w:r w:rsidRPr="00276026">
        <w:rPr>
          <w:sz w:val="20"/>
          <w:szCs w:val="20"/>
        </w:rPr>
        <w:t>.</w:t>
      </w:r>
      <w:r>
        <w:rPr>
          <w:sz w:val="20"/>
          <w:szCs w:val="20"/>
        </w:rPr>
        <w:t xml:space="preserve"> </w:t>
      </w:r>
      <w:r w:rsidRPr="00276026">
        <w:rPr>
          <w:sz w:val="20"/>
          <w:szCs w:val="20"/>
        </w:rPr>
        <w:t xml:space="preserve">Submissions will be published as soon as possible after the end of the </w:t>
      </w:r>
      <w:r w:rsidR="00DF736D">
        <w:rPr>
          <w:sz w:val="20"/>
          <w:szCs w:val="20"/>
        </w:rPr>
        <w:t>submission</w:t>
      </w:r>
      <w:r w:rsidRPr="00276026">
        <w:rPr>
          <w:sz w:val="20"/>
          <w:szCs w:val="20"/>
        </w:rPr>
        <w:t xml:space="preserve"> period. </w:t>
      </w:r>
    </w:p>
    <w:p w14:paraId="546A2B9E" w14:textId="77777777" w:rsidR="00FB6D3D" w:rsidRPr="00760317" w:rsidRDefault="00FB6D3D" w:rsidP="00526B53">
      <w:pPr>
        <w:ind w:right="-428"/>
        <w:rPr>
          <w:color w:val="000000"/>
          <w:sz w:val="20"/>
          <w:szCs w:val="20"/>
          <w:lang w:val="en-AU"/>
        </w:rPr>
      </w:pPr>
    </w:p>
    <w:p w14:paraId="08182677" w14:textId="77777777" w:rsidR="001B2E9F" w:rsidRDefault="00AD22F9" w:rsidP="00E203C2">
      <w:pPr>
        <w:rPr>
          <w:color w:val="000000"/>
          <w:sz w:val="20"/>
          <w:szCs w:val="20"/>
          <w:lang w:val="en-AU"/>
        </w:rPr>
      </w:pPr>
      <w:r w:rsidRPr="00760317">
        <w:rPr>
          <w:color w:val="000000"/>
          <w:sz w:val="20"/>
          <w:szCs w:val="20"/>
          <w:lang w:val="en-AU"/>
        </w:rPr>
        <w:t>Under s</w:t>
      </w:r>
      <w:r w:rsidR="00351B07" w:rsidRPr="00760317">
        <w:rPr>
          <w:color w:val="000000"/>
          <w:sz w:val="20"/>
          <w:szCs w:val="20"/>
          <w:lang w:val="en-AU"/>
        </w:rPr>
        <w:t xml:space="preserve">ection 114 </w:t>
      </w:r>
      <w:r w:rsidR="00FB1533" w:rsidRPr="00760317">
        <w:rPr>
          <w:color w:val="000000"/>
          <w:sz w:val="20"/>
          <w:szCs w:val="20"/>
          <w:lang w:val="en-AU"/>
        </w:rPr>
        <w:t xml:space="preserve">of the FSANZ Act, </w:t>
      </w:r>
      <w:r w:rsidRPr="00760317">
        <w:rPr>
          <w:color w:val="000000"/>
          <w:sz w:val="20"/>
          <w:szCs w:val="20"/>
          <w:lang w:val="en-AU"/>
        </w:rPr>
        <w:t>some information provided to FSANZ cannot be disclosed. More</w:t>
      </w:r>
      <w:r w:rsidR="00351B07" w:rsidRPr="00760317">
        <w:rPr>
          <w:color w:val="000000"/>
          <w:sz w:val="20"/>
          <w:szCs w:val="20"/>
          <w:lang w:val="en-AU"/>
        </w:rPr>
        <w:t xml:space="preserve"> information about the disclosure of confidential commercial information is available on the FSANZ website at</w:t>
      </w:r>
      <w:r w:rsidR="004A3685" w:rsidRPr="00760317">
        <w:rPr>
          <w:color w:val="000000"/>
          <w:sz w:val="20"/>
          <w:szCs w:val="20"/>
          <w:lang w:val="en-AU"/>
        </w:rPr>
        <w:t xml:space="preserve"> </w:t>
      </w:r>
      <w:hyperlink r:id="rId15" w:history="1">
        <w:r w:rsidR="004A3685" w:rsidRPr="00760317">
          <w:rPr>
            <w:rStyle w:val="Hyperlink"/>
            <w:sz w:val="20"/>
            <w:szCs w:val="20"/>
            <w:lang w:val="en-AU"/>
          </w:rPr>
          <w:t>information for submitters</w:t>
        </w:r>
      </w:hyperlink>
      <w:r w:rsidR="004A3685" w:rsidRPr="00760317">
        <w:rPr>
          <w:color w:val="000000"/>
          <w:sz w:val="20"/>
          <w:szCs w:val="20"/>
          <w:lang w:val="en-AU"/>
        </w:rPr>
        <w:t>.</w:t>
      </w:r>
      <w:r w:rsidR="00760317" w:rsidRPr="00760317">
        <w:rPr>
          <w:color w:val="000000"/>
          <w:sz w:val="20"/>
          <w:szCs w:val="20"/>
          <w:lang w:val="en-AU"/>
        </w:rPr>
        <w:t xml:space="preserve"> </w:t>
      </w:r>
    </w:p>
    <w:p w14:paraId="21886372" w14:textId="77777777" w:rsidR="001B2E9F" w:rsidRDefault="001B2E9F" w:rsidP="00E203C2">
      <w:pPr>
        <w:rPr>
          <w:color w:val="000000"/>
          <w:sz w:val="20"/>
          <w:szCs w:val="20"/>
          <w:lang w:val="en-AU"/>
        </w:rPr>
      </w:pPr>
    </w:p>
    <w:p w14:paraId="085BD972" w14:textId="77777777" w:rsidR="00E203C2" w:rsidRPr="00760317" w:rsidRDefault="00760317" w:rsidP="00E203C2">
      <w:pPr>
        <w:rPr>
          <w:sz w:val="20"/>
          <w:szCs w:val="20"/>
        </w:rPr>
      </w:pPr>
      <w:r w:rsidRPr="00760317">
        <w:rPr>
          <w:sz w:val="20"/>
          <w:szCs w:val="20"/>
        </w:rPr>
        <w:t xml:space="preserve">For information on how FSANZ manages personal information when you make a submission, see </w:t>
      </w:r>
      <w:r w:rsidR="006156A8">
        <w:rPr>
          <w:sz w:val="20"/>
          <w:szCs w:val="20"/>
        </w:rPr>
        <w:t>FSANZ’s</w:t>
      </w:r>
      <w:r w:rsidRPr="00760317">
        <w:rPr>
          <w:sz w:val="20"/>
          <w:szCs w:val="20"/>
        </w:rPr>
        <w:t xml:space="preserve"> </w:t>
      </w:r>
      <w:hyperlink r:id="rId16" w:history="1">
        <w:r w:rsidR="001D3F84">
          <w:rPr>
            <w:rStyle w:val="Hyperlink"/>
            <w:sz w:val="20"/>
            <w:szCs w:val="20"/>
          </w:rPr>
          <w:t>Privacy Policy.</w:t>
        </w:r>
      </w:hyperlink>
    </w:p>
    <w:p w14:paraId="46B19366" w14:textId="77777777" w:rsidR="00E203C2" w:rsidRPr="007C174F" w:rsidRDefault="00E203C2" w:rsidP="00E203C2">
      <w:pPr>
        <w:rPr>
          <w:color w:val="000000"/>
          <w:sz w:val="20"/>
          <w:szCs w:val="20"/>
          <w:lang w:val="en-AU"/>
        </w:rPr>
      </w:pPr>
    </w:p>
    <w:p w14:paraId="2570979C"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w:t>
      </w:r>
      <w:r w:rsidR="00526B53">
        <w:rPr>
          <w:color w:val="000000"/>
          <w:sz w:val="20"/>
          <w:szCs w:val="20"/>
          <w:lang w:val="en-AU"/>
        </w:rPr>
        <w:t>‘S</w:t>
      </w:r>
      <w:r w:rsidRPr="007C174F">
        <w:rPr>
          <w:color w:val="000000"/>
          <w:sz w:val="20"/>
          <w:szCs w:val="20"/>
          <w:lang w:val="en-AU"/>
        </w:rPr>
        <w:t>ubmission</w:t>
      </w:r>
      <w:r w:rsidR="00526B53">
        <w:rPr>
          <w:color w:val="000000"/>
          <w:sz w:val="20"/>
          <w:szCs w:val="20"/>
          <w:lang w:val="en-AU"/>
        </w:rPr>
        <w:t>’</w:t>
      </w:r>
      <w:r w:rsidR="00BE5540">
        <w:rPr>
          <w:color w:val="000000"/>
          <w:sz w:val="20"/>
          <w:szCs w:val="20"/>
          <w:lang w:val="en-AU"/>
        </w:rPr>
        <w:t xml:space="preserve">. You also need to include the </w:t>
      </w:r>
      <w:r w:rsidR="009E173A">
        <w:rPr>
          <w:color w:val="000000"/>
          <w:sz w:val="20"/>
          <w:szCs w:val="20"/>
          <w:lang w:val="en-AU"/>
        </w:rPr>
        <w:t xml:space="preserve">correct </w:t>
      </w:r>
      <w:r w:rsidR="00C06615">
        <w:rPr>
          <w:color w:val="000000"/>
          <w:sz w:val="20"/>
          <w:szCs w:val="20"/>
          <w:lang w:val="en-AU"/>
        </w:rPr>
        <w:t>application or proposal number</w:t>
      </w:r>
      <w:r w:rsidRPr="007C174F">
        <w:rPr>
          <w:color w:val="000000"/>
          <w:sz w:val="20"/>
          <w:szCs w:val="20"/>
          <w:lang w:val="en-AU"/>
        </w:rPr>
        <w:t xml:space="preserve"> and name</w:t>
      </w:r>
      <w:r w:rsidR="003309A8">
        <w:rPr>
          <w:color w:val="000000"/>
          <w:sz w:val="20"/>
          <w:szCs w:val="20"/>
          <w:lang w:val="en-AU"/>
        </w:rPr>
        <w:t xml:space="preserve">. </w:t>
      </w:r>
      <w:r w:rsidR="003E1878">
        <w:rPr>
          <w:color w:val="000000"/>
          <w:sz w:val="20"/>
          <w:szCs w:val="20"/>
          <w:lang w:val="en-AU"/>
        </w:rPr>
        <w:t xml:space="preserve">Electronic </w:t>
      </w:r>
      <w:r w:rsidRPr="007C174F">
        <w:rPr>
          <w:color w:val="000000"/>
          <w:sz w:val="20"/>
          <w:szCs w:val="20"/>
          <w:lang w:val="en-AU"/>
        </w:rPr>
        <w:t xml:space="preserve">submissions </w:t>
      </w:r>
      <w:r w:rsidR="003E1878">
        <w:rPr>
          <w:color w:val="000000"/>
          <w:sz w:val="20"/>
          <w:szCs w:val="20"/>
          <w:lang w:val="en-AU"/>
        </w:rPr>
        <w:t xml:space="preserve">can be made </w:t>
      </w:r>
      <w:r w:rsidR="00144B46">
        <w:rPr>
          <w:color w:val="000000"/>
          <w:sz w:val="20"/>
          <w:szCs w:val="20"/>
          <w:lang w:val="en-AU"/>
        </w:rPr>
        <w:t>by</w:t>
      </w:r>
      <w:r w:rsidRPr="007C174F">
        <w:rPr>
          <w:color w:val="000000"/>
          <w:sz w:val="20"/>
          <w:szCs w:val="20"/>
          <w:lang w:val="en-AU"/>
        </w:rPr>
        <w:t xml:space="preserve"> email</w:t>
      </w:r>
      <w:r w:rsidR="00144B46">
        <w:rPr>
          <w:color w:val="000000"/>
          <w:sz w:val="20"/>
          <w:szCs w:val="20"/>
          <w:lang w:val="en-AU"/>
        </w:rPr>
        <w:t>ing</w:t>
      </w:r>
      <w:r w:rsidRPr="007C174F">
        <w:rPr>
          <w:color w:val="000000"/>
          <w:sz w:val="20"/>
          <w:szCs w:val="20"/>
          <w:lang w:val="en-AU"/>
        </w:rPr>
        <w:t xml:space="preserve"> your submission to </w:t>
      </w:r>
      <w:hyperlink r:id="rId17" w:history="1">
        <w:r w:rsidRPr="007C174F">
          <w:rPr>
            <w:rStyle w:val="Hyperlink"/>
            <w:rFonts w:cs="Arial"/>
            <w:sz w:val="20"/>
            <w:szCs w:val="20"/>
            <w:lang w:val="en-AU"/>
          </w:rPr>
          <w:t>submissions@foodstandards.gov.au</w:t>
        </w:r>
      </w:hyperlink>
      <w:r w:rsidR="003309A8">
        <w:rPr>
          <w:color w:val="000000"/>
          <w:sz w:val="20"/>
          <w:szCs w:val="20"/>
          <w:lang w:val="en-AU"/>
        </w:rPr>
        <w:t xml:space="preserve">. </w:t>
      </w:r>
      <w:r w:rsidR="002A14D6" w:rsidRPr="007C174F">
        <w:rPr>
          <w:color w:val="000000"/>
          <w:sz w:val="20"/>
          <w:szCs w:val="20"/>
          <w:lang w:val="en-AU"/>
        </w:rPr>
        <w:t xml:space="preserve">FSANZ </w:t>
      </w:r>
      <w:r w:rsidR="002A14D6">
        <w:rPr>
          <w:color w:val="000000"/>
          <w:sz w:val="20"/>
          <w:szCs w:val="20"/>
          <w:lang w:val="en-AU"/>
        </w:rPr>
        <w:t xml:space="preserve">also </w:t>
      </w:r>
      <w:r w:rsidR="002A14D6" w:rsidRPr="007C174F">
        <w:rPr>
          <w:color w:val="000000"/>
          <w:sz w:val="20"/>
          <w:szCs w:val="20"/>
          <w:lang w:val="en-AU"/>
        </w:rPr>
        <w:t xml:space="preserve">accepts submissions in hard copy to our </w:t>
      </w:r>
      <w:r w:rsidR="002A14D6">
        <w:rPr>
          <w:color w:val="000000"/>
          <w:sz w:val="20"/>
          <w:szCs w:val="20"/>
          <w:lang w:val="en-AU"/>
        </w:rPr>
        <w:t xml:space="preserve">Australia and/or New Zealand </w:t>
      </w:r>
      <w:r w:rsidR="002A14D6" w:rsidRPr="007C174F">
        <w:rPr>
          <w:color w:val="000000"/>
          <w:sz w:val="20"/>
          <w:szCs w:val="20"/>
          <w:lang w:val="en-AU"/>
        </w:rPr>
        <w:t>offices</w:t>
      </w:r>
      <w:r w:rsidR="002A14D6">
        <w:rPr>
          <w:color w:val="000000"/>
          <w:sz w:val="20"/>
          <w:szCs w:val="20"/>
          <w:lang w:val="en-AU"/>
        </w:rPr>
        <w:t>.</w:t>
      </w:r>
    </w:p>
    <w:p w14:paraId="6B74F032" w14:textId="77777777" w:rsidR="00E203C2" w:rsidRPr="007C174F" w:rsidRDefault="00E203C2" w:rsidP="00E203C2">
      <w:pPr>
        <w:rPr>
          <w:color w:val="000000"/>
          <w:sz w:val="20"/>
          <w:szCs w:val="20"/>
          <w:lang w:val="en-AU"/>
        </w:rPr>
      </w:pPr>
    </w:p>
    <w:p w14:paraId="002F94AC"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3C672A2E" w14:textId="77777777" w:rsidR="00E203C2" w:rsidRPr="00D676CF" w:rsidRDefault="00E203C2" w:rsidP="00E203C2">
      <w:pPr>
        <w:rPr>
          <w:color w:val="000000"/>
          <w:sz w:val="20"/>
          <w:lang w:val="en-AU"/>
        </w:rPr>
      </w:pPr>
    </w:p>
    <w:p w14:paraId="5CC9FA2E" w14:textId="03781662"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C72751" w:rsidRPr="008704E4">
        <w:rPr>
          <w:rFonts w:cs="Arial"/>
          <w:b/>
          <w:bCs/>
          <w:sz w:val="24"/>
        </w:rPr>
        <w:t>3</w:t>
      </w:r>
      <w:r w:rsidRPr="008704E4">
        <w:rPr>
          <w:rFonts w:cs="Arial"/>
          <w:b/>
          <w:bCs/>
          <w:sz w:val="24"/>
        </w:rPr>
        <w:t xml:space="preserve"> </w:t>
      </w:r>
      <w:r w:rsidR="00C72751" w:rsidRPr="008704E4">
        <w:rPr>
          <w:rFonts w:cs="Arial"/>
          <w:b/>
          <w:bCs/>
          <w:sz w:val="24"/>
        </w:rPr>
        <w:t>March 2023</w:t>
      </w:r>
    </w:p>
    <w:p w14:paraId="4B8FAC46" w14:textId="77777777" w:rsidR="00E203C2" w:rsidRPr="007C174F" w:rsidRDefault="00E203C2" w:rsidP="00E203C2">
      <w:pPr>
        <w:rPr>
          <w:sz w:val="20"/>
          <w:szCs w:val="20"/>
          <w:lang w:val="en-AU"/>
        </w:rPr>
      </w:pPr>
    </w:p>
    <w:p w14:paraId="61D0D30B" w14:textId="552F6453" w:rsidR="00E203C2"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00DF736D">
        <w:rPr>
          <w:sz w:val="20"/>
          <w:szCs w:val="20"/>
          <w:lang w:val="en-AU"/>
        </w:rPr>
        <w:t xml:space="preserve"> </w:t>
      </w:r>
      <w:r w:rsidRPr="007C174F">
        <w:rPr>
          <w:sz w:val="20"/>
          <w:szCs w:val="20"/>
          <w:lang w:val="en-AU"/>
        </w:rPr>
        <w:t>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Extensions will only be</w:t>
      </w:r>
      <w:r w:rsidR="00526B53">
        <w:rPr>
          <w:sz w:val="20"/>
          <w:szCs w:val="20"/>
          <w:lang w:val="en-AU"/>
        </w:rPr>
        <w:t xml:space="preserve"> </w:t>
      </w:r>
      <w:r w:rsidR="0037520F">
        <w:rPr>
          <w:sz w:val="20"/>
          <w:szCs w:val="20"/>
          <w:lang w:val="en-AU"/>
        </w:rPr>
        <w:t xml:space="preserve">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162894DA" w14:textId="77777777" w:rsidR="00EA6E89" w:rsidRPr="007C174F" w:rsidRDefault="00EA6E89" w:rsidP="00E203C2">
      <w:pPr>
        <w:rPr>
          <w:sz w:val="20"/>
          <w:szCs w:val="20"/>
          <w:lang w:val="en-AU"/>
        </w:rPr>
      </w:pPr>
    </w:p>
    <w:p w14:paraId="233D3021"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w:t>
      </w:r>
      <w:r w:rsidR="00970050">
        <w:rPr>
          <w:sz w:val="20"/>
          <w:szCs w:val="20"/>
          <w:lang w:val="en-AU"/>
        </w:rPr>
        <w:t xml:space="preserve">a </w:t>
      </w:r>
      <w:r w:rsidR="00E063C6" w:rsidRPr="007C174F">
        <w:rPr>
          <w:sz w:val="20"/>
          <w:szCs w:val="20"/>
          <w:lang w:val="en-AU"/>
        </w:rPr>
        <w:t xml:space="preserve">submission or application </w:t>
      </w:r>
      <w:r w:rsidR="00970050">
        <w:rPr>
          <w:sz w:val="20"/>
          <w:szCs w:val="20"/>
          <w:lang w:val="en-AU"/>
        </w:rPr>
        <w:t xml:space="preserve">and proposal </w:t>
      </w:r>
      <w:r w:rsidR="00E063C6" w:rsidRPr="007C174F">
        <w:rPr>
          <w:sz w:val="20"/>
          <w:szCs w:val="20"/>
          <w:lang w:val="en-AU"/>
        </w:rPr>
        <w:t>process</w:t>
      </w:r>
      <w:r w:rsidR="00970050">
        <w:rPr>
          <w:sz w:val="20"/>
          <w:szCs w:val="20"/>
          <w:lang w:val="en-AU"/>
        </w:rPr>
        <w:t>es</w:t>
      </w:r>
      <w:r w:rsidR="00E063C6" w:rsidRPr="007C174F">
        <w:rPr>
          <w:sz w:val="20"/>
          <w:szCs w:val="20"/>
          <w:lang w:val="en-AU"/>
        </w:rPr>
        <w:t xml:space="preserve"> can be </w:t>
      </w:r>
      <w:r>
        <w:rPr>
          <w:sz w:val="20"/>
          <w:szCs w:val="20"/>
          <w:lang w:val="en-AU"/>
        </w:rPr>
        <w:t>sent to</w:t>
      </w:r>
      <w:r w:rsidR="00E063C6" w:rsidRPr="007C174F">
        <w:rPr>
          <w:sz w:val="20"/>
          <w:szCs w:val="20"/>
          <w:lang w:val="en-AU"/>
        </w:rPr>
        <w:t xml:space="preserve"> </w:t>
      </w:r>
      <w:hyperlink r:id="rId18"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7D6C2160" w14:textId="77777777" w:rsidR="00E203C2" w:rsidRPr="003A7725" w:rsidRDefault="00E203C2" w:rsidP="003A7725">
      <w:pPr>
        <w:rPr>
          <w:sz w:val="20"/>
          <w:lang w:val="en-AU"/>
        </w:rPr>
      </w:pPr>
    </w:p>
    <w:p w14:paraId="38495357" w14:textId="77777777" w:rsidR="00E063C6" w:rsidRPr="007C174F" w:rsidRDefault="005C49C3" w:rsidP="00E203C2">
      <w:pPr>
        <w:rPr>
          <w:sz w:val="20"/>
          <w:szCs w:val="20"/>
          <w:lang w:val="en-AU"/>
        </w:rPr>
      </w:pPr>
      <w:r>
        <w:rPr>
          <w:sz w:val="20"/>
          <w:szCs w:val="20"/>
          <w:lang w:val="en-AU"/>
        </w:rPr>
        <w:t>S</w:t>
      </w:r>
      <w:r w:rsidR="00E063C6" w:rsidRPr="007C174F">
        <w:rPr>
          <w:sz w:val="20"/>
          <w:szCs w:val="20"/>
          <w:lang w:val="en-AU"/>
        </w:rPr>
        <w:t xml:space="preserve">ubmissions </w:t>
      </w:r>
      <w:r>
        <w:rPr>
          <w:sz w:val="20"/>
          <w:szCs w:val="20"/>
          <w:lang w:val="en-AU"/>
        </w:rPr>
        <w:t xml:space="preserve">in hard copy </w:t>
      </w:r>
      <w:r w:rsidR="00E063C6" w:rsidRPr="007C174F">
        <w:rPr>
          <w:sz w:val="20"/>
          <w:szCs w:val="20"/>
          <w:lang w:val="en-AU"/>
        </w:rPr>
        <w:t>may be sent to the following addresses:</w:t>
      </w:r>
    </w:p>
    <w:p w14:paraId="700F06FF" w14:textId="77777777" w:rsidR="00E203C2" w:rsidRPr="007C174F" w:rsidRDefault="00E203C2" w:rsidP="00E203C2">
      <w:pPr>
        <w:rPr>
          <w:sz w:val="20"/>
          <w:szCs w:val="20"/>
          <w:lang w:val="en-AU"/>
        </w:rPr>
      </w:pPr>
    </w:p>
    <w:p w14:paraId="0B8C4F0A"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20C0E36A" w14:textId="77777777" w:rsidR="00E203C2" w:rsidRPr="007C174F" w:rsidRDefault="00E063C6" w:rsidP="00E203C2">
      <w:pPr>
        <w:tabs>
          <w:tab w:val="left" w:pos="4536"/>
        </w:tabs>
        <w:rPr>
          <w:sz w:val="20"/>
          <w:szCs w:val="20"/>
        </w:rPr>
      </w:pPr>
      <w:r w:rsidRPr="007C174F">
        <w:rPr>
          <w:sz w:val="20"/>
          <w:szCs w:val="20"/>
        </w:rPr>
        <w:lastRenderedPageBreak/>
        <w:t xml:space="preserve">PO Box </w:t>
      </w:r>
      <w:r w:rsidR="00685269">
        <w:rPr>
          <w:sz w:val="20"/>
          <w:szCs w:val="20"/>
        </w:rPr>
        <w:t>5423</w:t>
      </w:r>
      <w:r w:rsidRPr="007C174F">
        <w:rPr>
          <w:sz w:val="20"/>
          <w:szCs w:val="20"/>
        </w:rPr>
        <w:tab/>
      </w:r>
      <w:r w:rsidRPr="007C174F">
        <w:rPr>
          <w:sz w:val="20"/>
          <w:szCs w:val="20"/>
        </w:rPr>
        <w:tab/>
        <w:t>PO Box 10559</w:t>
      </w:r>
    </w:p>
    <w:p w14:paraId="22E11680"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WELLINGTON 614</w:t>
      </w:r>
      <w:r w:rsidR="00DB65A3">
        <w:rPr>
          <w:sz w:val="20"/>
          <w:szCs w:val="20"/>
        </w:rPr>
        <w:t>0</w:t>
      </w:r>
    </w:p>
    <w:p w14:paraId="302900CC"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301052D9"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7D472645" w14:textId="77777777" w:rsidR="00D22F3C" w:rsidRPr="007C174F" w:rsidRDefault="00D22F3C" w:rsidP="00203540">
      <w:pPr>
        <w:tabs>
          <w:tab w:val="left" w:pos="4536"/>
        </w:tabs>
        <w:rPr>
          <w:rFonts w:cs="Arial"/>
          <w:bCs/>
          <w:color w:val="FF0000"/>
          <w:sz w:val="20"/>
          <w:szCs w:val="20"/>
        </w:rPr>
      </w:pPr>
    </w:p>
    <w:p w14:paraId="2D94244C" w14:textId="77777777" w:rsidR="00413CA8" w:rsidRDefault="00413CA8" w:rsidP="00E203C2">
      <w:pPr>
        <w:spacing w:line="280" w:lineRule="exact"/>
        <w:jc w:val="center"/>
        <w:rPr>
          <w:rFonts w:cs="Arial"/>
          <w:bCs/>
          <w:sz w:val="28"/>
          <w:szCs w:val="28"/>
        </w:rPr>
        <w:sectPr w:rsidR="00413CA8" w:rsidSect="0038704F">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134" w:left="1418" w:header="709" w:footer="709" w:gutter="0"/>
          <w:pgNumType w:fmt="lowerRoman" w:start="1"/>
          <w:cols w:space="708"/>
          <w:docGrid w:linePitch="360"/>
        </w:sectPr>
      </w:pPr>
    </w:p>
    <w:p w14:paraId="27413B92"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0C972037" w14:textId="77777777" w:rsidR="00562917" w:rsidRPr="00AE766D" w:rsidRDefault="00562917" w:rsidP="00051ED9">
      <w:pPr>
        <w:rPr>
          <w:rFonts w:cs="Arial"/>
        </w:rPr>
      </w:pPr>
    </w:p>
    <w:p w14:paraId="694EDD8C" w14:textId="3AD8D7FC" w:rsidR="00B821B0" w:rsidRDefault="00051ED9">
      <w:pPr>
        <w:pStyle w:val="TOC1"/>
        <w:rPr>
          <w:rFonts w:eastAsiaTheme="minorEastAsia" w:cstheme="minorBidi"/>
          <w:b w:val="0"/>
          <w:bCs w:val="0"/>
          <w:caps w:val="0"/>
          <w:noProof/>
          <w:sz w:val="22"/>
          <w:szCs w:val="22"/>
          <w:lang w:val="en-AU" w:eastAsia="en-AU"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125028799" w:history="1">
        <w:r w:rsidR="00B821B0" w:rsidRPr="006A44D1">
          <w:rPr>
            <w:rStyle w:val="Hyperlink"/>
            <w:noProof/>
          </w:rPr>
          <w:t>Executive summary</w:t>
        </w:r>
        <w:r w:rsidR="00B821B0">
          <w:rPr>
            <w:noProof/>
            <w:webHidden/>
          </w:rPr>
          <w:tab/>
        </w:r>
        <w:r w:rsidR="00B821B0">
          <w:rPr>
            <w:noProof/>
            <w:webHidden/>
          </w:rPr>
          <w:fldChar w:fldCharType="begin"/>
        </w:r>
        <w:r w:rsidR="00B821B0">
          <w:rPr>
            <w:noProof/>
            <w:webHidden/>
          </w:rPr>
          <w:instrText xml:space="preserve"> PAGEREF _Toc125028799 \h </w:instrText>
        </w:r>
        <w:r w:rsidR="00B821B0">
          <w:rPr>
            <w:noProof/>
            <w:webHidden/>
          </w:rPr>
        </w:r>
        <w:r w:rsidR="00B821B0">
          <w:rPr>
            <w:noProof/>
            <w:webHidden/>
          </w:rPr>
          <w:fldChar w:fldCharType="separate"/>
        </w:r>
        <w:r w:rsidR="00756FB9">
          <w:rPr>
            <w:noProof/>
            <w:webHidden/>
          </w:rPr>
          <w:t>2</w:t>
        </w:r>
        <w:r w:rsidR="00B821B0">
          <w:rPr>
            <w:noProof/>
            <w:webHidden/>
          </w:rPr>
          <w:fldChar w:fldCharType="end"/>
        </w:r>
      </w:hyperlink>
    </w:p>
    <w:p w14:paraId="11964171" w14:textId="17A4ABA9" w:rsidR="00B821B0" w:rsidRDefault="003C3B0E">
      <w:pPr>
        <w:pStyle w:val="TOC1"/>
        <w:rPr>
          <w:rFonts w:eastAsiaTheme="minorEastAsia" w:cstheme="minorBidi"/>
          <w:b w:val="0"/>
          <w:bCs w:val="0"/>
          <w:caps w:val="0"/>
          <w:noProof/>
          <w:sz w:val="22"/>
          <w:szCs w:val="22"/>
          <w:lang w:val="en-AU" w:eastAsia="en-AU" w:bidi="ar-SA"/>
        </w:rPr>
      </w:pPr>
      <w:hyperlink w:anchor="_Toc125028800" w:history="1">
        <w:r w:rsidR="00B821B0" w:rsidRPr="006A44D1">
          <w:rPr>
            <w:rStyle w:val="Hyperlink"/>
            <w:noProof/>
          </w:rPr>
          <w:t>1</w:t>
        </w:r>
        <w:r w:rsidR="00B821B0">
          <w:rPr>
            <w:rFonts w:eastAsiaTheme="minorEastAsia" w:cstheme="minorBidi"/>
            <w:b w:val="0"/>
            <w:bCs w:val="0"/>
            <w:caps w:val="0"/>
            <w:noProof/>
            <w:sz w:val="22"/>
            <w:szCs w:val="22"/>
            <w:lang w:val="en-AU" w:eastAsia="en-AU" w:bidi="ar-SA"/>
          </w:rPr>
          <w:tab/>
        </w:r>
        <w:r w:rsidR="00B821B0" w:rsidRPr="006A44D1">
          <w:rPr>
            <w:rStyle w:val="Hyperlink"/>
            <w:noProof/>
          </w:rPr>
          <w:t>Introduction</w:t>
        </w:r>
        <w:r w:rsidR="00B821B0">
          <w:rPr>
            <w:noProof/>
            <w:webHidden/>
          </w:rPr>
          <w:tab/>
        </w:r>
        <w:r w:rsidR="00B821B0">
          <w:rPr>
            <w:noProof/>
            <w:webHidden/>
          </w:rPr>
          <w:fldChar w:fldCharType="begin"/>
        </w:r>
        <w:r w:rsidR="00B821B0">
          <w:rPr>
            <w:noProof/>
            <w:webHidden/>
          </w:rPr>
          <w:instrText xml:space="preserve"> PAGEREF _Toc125028800 \h </w:instrText>
        </w:r>
        <w:r w:rsidR="00B821B0">
          <w:rPr>
            <w:noProof/>
            <w:webHidden/>
          </w:rPr>
        </w:r>
        <w:r w:rsidR="00B821B0">
          <w:rPr>
            <w:noProof/>
            <w:webHidden/>
          </w:rPr>
          <w:fldChar w:fldCharType="separate"/>
        </w:r>
        <w:r w:rsidR="00756FB9">
          <w:rPr>
            <w:noProof/>
            <w:webHidden/>
          </w:rPr>
          <w:t>3</w:t>
        </w:r>
        <w:r w:rsidR="00B821B0">
          <w:rPr>
            <w:noProof/>
            <w:webHidden/>
          </w:rPr>
          <w:fldChar w:fldCharType="end"/>
        </w:r>
      </w:hyperlink>
    </w:p>
    <w:p w14:paraId="4C595003" w14:textId="537758AD" w:rsidR="00B821B0" w:rsidRDefault="003C3B0E">
      <w:pPr>
        <w:pStyle w:val="TOC2"/>
        <w:rPr>
          <w:rFonts w:eastAsiaTheme="minorEastAsia" w:cstheme="minorBidi"/>
          <w:smallCaps w:val="0"/>
          <w:noProof/>
          <w:sz w:val="22"/>
          <w:szCs w:val="22"/>
          <w:lang w:val="en-AU" w:eastAsia="en-AU" w:bidi="ar-SA"/>
        </w:rPr>
      </w:pPr>
      <w:hyperlink w:anchor="_Toc125028801" w:history="1">
        <w:r w:rsidR="00B821B0" w:rsidRPr="006A44D1">
          <w:rPr>
            <w:rStyle w:val="Hyperlink"/>
            <w:noProof/>
          </w:rPr>
          <w:t xml:space="preserve">1.1 </w:t>
        </w:r>
        <w:r w:rsidR="00B821B0">
          <w:rPr>
            <w:rFonts w:eastAsiaTheme="minorEastAsia" w:cstheme="minorBidi"/>
            <w:smallCaps w:val="0"/>
            <w:noProof/>
            <w:sz w:val="22"/>
            <w:szCs w:val="22"/>
            <w:lang w:val="en-AU" w:eastAsia="en-AU" w:bidi="ar-SA"/>
          </w:rPr>
          <w:tab/>
        </w:r>
        <w:r w:rsidR="00B821B0" w:rsidRPr="006A44D1">
          <w:rPr>
            <w:rStyle w:val="Hyperlink"/>
            <w:noProof/>
          </w:rPr>
          <w:t>The Proposal</w:t>
        </w:r>
        <w:r w:rsidR="00B821B0">
          <w:rPr>
            <w:noProof/>
            <w:webHidden/>
          </w:rPr>
          <w:tab/>
        </w:r>
        <w:r w:rsidR="00B821B0">
          <w:rPr>
            <w:noProof/>
            <w:webHidden/>
          </w:rPr>
          <w:fldChar w:fldCharType="begin"/>
        </w:r>
        <w:r w:rsidR="00B821B0">
          <w:rPr>
            <w:noProof/>
            <w:webHidden/>
          </w:rPr>
          <w:instrText xml:space="preserve"> PAGEREF _Toc125028801 \h </w:instrText>
        </w:r>
        <w:r w:rsidR="00B821B0">
          <w:rPr>
            <w:noProof/>
            <w:webHidden/>
          </w:rPr>
        </w:r>
        <w:r w:rsidR="00B821B0">
          <w:rPr>
            <w:noProof/>
            <w:webHidden/>
          </w:rPr>
          <w:fldChar w:fldCharType="separate"/>
        </w:r>
        <w:r w:rsidR="00756FB9">
          <w:rPr>
            <w:noProof/>
            <w:webHidden/>
          </w:rPr>
          <w:t>3</w:t>
        </w:r>
        <w:r w:rsidR="00B821B0">
          <w:rPr>
            <w:noProof/>
            <w:webHidden/>
          </w:rPr>
          <w:fldChar w:fldCharType="end"/>
        </w:r>
      </w:hyperlink>
    </w:p>
    <w:p w14:paraId="195F5344" w14:textId="06FC8FB9" w:rsidR="00B821B0" w:rsidRDefault="003C3B0E">
      <w:pPr>
        <w:pStyle w:val="TOC2"/>
        <w:rPr>
          <w:rFonts w:eastAsiaTheme="minorEastAsia" w:cstheme="minorBidi"/>
          <w:smallCaps w:val="0"/>
          <w:noProof/>
          <w:sz w:val="22"/>
          <w:szCs w:val="22"/>
          <w:lang w:val="en-AU" w:eastAsia="en-AU" w:bidi="ar-SA"/>
        </w:rPr>
      </w:pPr>
      <w:hyperlink w:anchor="_Toc125028802" w:history="1">
        <w:r w:rsidR="00B821B0" w:rsidRPr="006A44D1">
          <w:rPr>
            <w:rStyle w:val="Hyperlink"/>
            <w:noProof/>
          </w:rPr>
          <w:t>1.2</w:t>
        </w:r>
        <w:r w:rsidR="00B821B0">
          <w:rPr>
            <w:rFonts w:eastAsiaTheme="minorEastAsia" w:cstheme="minorBidi"/>
            <w:smallCaps w:val="0"/>
            <w:noProof/>
            <w:sz w:val="22"/>
            <w:szCs w:val="22"/>
            <w:lang w:val="en-AU" w:eastAsia="en-AU" w:bidi="ar-SA"/>
          </w:rPr>
          <w:tab/>
        </w:r>
        <w:r w:rsidR="00B821B0" w:rsidRPr="006A44D1">
          <w:rPr>
            <w:rStyle w:val="Hyperlink"/>
            <w:noProof/>
          </w:rPr>
          <w:t>The current standard</w:t>
        </w:r>
        <w:r w:rsidR="00B821B0">
          <w:rPr>
            <w:noProof/>
            <w:webHidden/>
          </w:rPr>
          <w:tab/>
        </w:r>
        <w:r w:rsidR="00B821B0">
          <w:rPr>
            <w:noProof/>
            <w:webHidden/>
          </w:rPr>
          <w:fldChar w:fldCharType="begin"/>
        </w:r>
        <w:r w:rsidR="00B821B0">
          <w:rPr>
            <w:noProof/>
            <w:webHidden/>
          </w:rPr>
          <w:instrText xml:space="preserve"> PAGEREF _Toc125028802 \h </w:instrText>
        </w:r>
        <w:r w:rsidR="00B821B0">
          <w:rPr>
            <w:noProof/>
            <w:webHidden/>
          </w:rPr>
        </w:r>
        <w:r w:rsidR="00B821B0">
          <w:rPr>
            <w:noProof/>
            <w:webHidden/>
          </w:rPr>
          <w:fldChar w:fldCharType="separate"/>
        </w:r>
        <w:r w:rsidR="00756FB9">
          <w:rPr>
            <w:noProof/>
            <w:webHidden/>
          </w:rPr>
          <w:t>3</w:t>
        </w:r>
        <w:r w:rsidR="00B821B0">
          <w:rPr>
            <w:noProof/>
            <w:webHidden/>
          </w:rPr>
          <w:fldChar w:fldCharType="end"/>
        </w:r>
      </w:hyperlink>
    </w:p>
    <w:p w14:paraId="790A18D0" w14:textId="1E3E9169" w:rsidR="00B821B0" w:rsidRDefault="003C3B0E">
      <w:pPr>
        <w:pStyle w:val="TOC2"/>
        <w:rPr>
          <w:rFonts w:eastAsiaTheme="minorEastAsia" w:cstheme="minorBidi"/>
          <w:smallCaps w:val="0"/>
          <w:noProof/>
          <w:sz w:val="22"/>
          <w:szCs w:val="22"/>
          <w:lang w:val="en-AU" w:eastAsia="en-AU" w:bidi="ar-SA"/>
        </w:rPr>
      </w:pPr>
      <w:hyperlink w:anchor="_Toc125028803" w:history="1">
        <w:r w:rsidR="00B821B0" w:rsidRPr="006A44D1">
          <w:rPr>
            <w:rStyle w:val="Hyperlink"/>
            <w:noProof/>
          </w:rPr>
          <w:t>1.3</w:t>
        </w:r>
        <w:r w:rsidR="00B821B0">
          <w:rPr>
            <w:rFonts w:eastAsiaTheme="minorEastAsia" w:cstheme="minorBidi"/>
            <w:smallCaps w:val="0"/>
            <w:noProof/>
            <w:sz w:val="22"/>
            <w:szCs w:val="22"/>
            <w:lang w:val="en-AU" w:eastAsia="en-AU" w:bidi="ar-SA"/>
          </w:rPr>
          <w:tab/>
        </w:r>
        <w:r w:rsidR="00B821B0" w:rsidRPr="006A44D1">
          <w:rPr>
            <w:rStyle w:val="Hyperlink"/>
            <w:noProof/>
          </w:rPr>
          <w:t>Reasons for preparing the Proposal</w:t>
        </w:r>
        <w:r w:rsidR="00B821B0">
          <w:rPr>
            <w:noProof/>
            <w:webHidden/>
          </w:rPr>
          <w:tab/>
        </w:r>
        <w:r w:rsidR="00B821B0">
          <w:rPr>
            <w:noProof/>
            <w:webHidden/>
          </w:rPr>
          <w:fldChar w:fldCharType="begin"/>
        </w:r>
        <w:r w:rsidR="00B821B0">
          <w:rPr>
            <w:noProof/>
            <w:webHidden/>
          </w:rPr>
          <w:instrText xml:space="preserve"> PAGEREF _Toc125028803 \h </w:instrText>
        </w:r>
        <w:r w:rsidR="00B821B0">
          <w:rPr>
            <w:noProof/>
            <w:webHidden/>
          </w:rPr>
        </w:r>
        <w:r w:rsidR="00B821B0">
          <w:rPr>
            <w:noProof/>
            <w:webHidden/>
          </w:rPr>
          <w:fldChar w:fldCharType="separate"/>
        </w:r>
        <w:r w:rsidR="00756FB9">
          <w:rPr>
            <w:noProof/>
            <w:webHidden/>
          </w:rPr>
          <w:t>3</w:t>
        </w:r>
        <w:r w:rsidR="00B821B0">
          <w:rPr>
            <w:noProof/>
            <w:webHidden/>
          </w:rPr>
          <w:fldChar w:fldCharType="end"/>
        </w:r>
      </w:hyperlink>
    </w:p>
    <w:p w14:paraId="1366DDD9" w14:textId="4C50AF3C" w:rsidR="00B821B0" w:rsidRDefault="003C3B0E">
      <w:pPr>
        <w:pStyle w:val="TOC2"/>
        <w:rPr>
          <w:rFonts w:eastAsiaTheme="minorEastAsia" w:cstheme="minorBidi"/>
          <w:smallCaps w:val="0"/>
          <w:noProof/>
          <w:sz w:val="22"/>
          <w:szCs w:val="22"/>
          <w:lang w:val="en-AU" w:eastAsia="en-AU" w:bidi="ar-SA"/>
        </w:rPr>
      </w:pPr>
      <w:hyperlink w:anchor="_Toc125028804" w:history="1">
        <w:r w:rsidR="00B821B0" w:rsidRPr="006A44D1">
          <w:rPr>
            <w:rStyle w:val="Hyperlink"/>
            <w:noProof/>
          </w:rPr>
          <w:t>1.4</w:t>
        </w:r>
        <w:r w:rsidR="00B821B0">
          <w:rPr>
            <w:rFonts w:eastAsiaTheme="minorEastAsia" w:cstheme="minorBidi"/>
            <w:smallCaps w:val="0"/>
            <w:noProof/>
            <w:sz w:val="22"/>
            <w:szCs w:val="22"/>
            <w:lang w:val="en-AU" w:eastAsia="en-AU" w:bidi="ar-SA"/>
          </w:rPr>
          <w:tab/>
        </w:r>
        <w:r w:rsidR="00B821B0" w:rsidRPr="006A44D1">
          <w:rPr>
            <w:rStyle w:val="Hyperlink"/>
            <w:noProof/>
          </w:rPr>
          <w:t>Procedure for assessment</w:t>
        </w:r>
        <w:r w:rsidR="00B821B0">
          <w:rPr>
            <w:noProof/>
            <w:webHidden/>
          </w:rPr>
          <w:tab/>
        </w:r>
        <w:r w:rsidR="00B821B0">
          <w:rPr>
            <w:noProof/>
            <w:webHidden/>
          </w:rPr>
          <w:fldChar w:fldCharType="begin"/>
        </w:r>
        <w:r w:rsidR="00B821B0">
          <w:rPr>
            <w:noProof/>
            <w:webHidden/>
          </w:rPr>
          <w:instrText xml:space="preserve"> PAGEREF _Toc125028804 \h </w:instrText>
        </w:r>
        <w:r w:rsidR="00B821B0">
          <w:rPr>
            <w:noProof/>
            <w:webHidden/>
          </w:rPr>
        </w:r>
        <w:r w:rsidR="00B821B0">
          <w:rPr>
            <w:noProof/>
            <w:webHidden/>
          </w:rPr>
          <w:fldChar w:fldCharType="separate"/>
        </w:r>
        <w:r w:rsidR="00756FB9">
          <w:rPr>
            <w:noProof/>
            <w:webHidden/>
          </w:rPr>
          <w:t>3</w:t>
        </w:r>
        <w:r w:rsidR="00B821B0">
          <w:rPr>
            <w:noProof/>
            <w:webHidden/>
          </w:rPr>
          <w:fldChar w:fldCharType="end"/>
        </w:r>
      </w:hyperlink>
    </w:p>
    <w:p w14:paraId="6C599217" w14:textId="3E795627" w:rsidR="00B821B0" w:rsidRDefault="003C3B0E">
      <w:pPr>
        <w:pStyle w:val="TOC1"/>
        <w:rPr>
          <w:rFonts w:eastAsiaTheme="minorEastAsia" w:cstheme="minorBidi"/>
          <w:b w:val="0"/>
          <w:bCs w:val="0"/>
          <w:caps w:val="0"/>
          <w:noProof/>
          <w:sz w:val="22"/>
          <w:szCs w:val="22"/>
          <w:lang w:val="en-AU" w:eastAsia="en-AU" w:bidi="ar-SA"/>
        </w:rPr>
      </w:pPr>
      <w:hyperlink w:anchor="_Toc125028805" w:history="1">
        <w:r w:rsidR="00B821B0" w:rsidRPr="006A44D1">
          <w:rPr>
            <w:rStyle w:val="Hyperlink"/>
            <w:noProof/>
          </w:rPr>
          <w:t>2</w:t>
        </w:r>
        <w:r w:rsidR="00B821B0">
          <w:rPr>
            <w:rFonts w:eastAsiaTheme="minorEastAsia" w:cstheme="minorBidi"/>
            <w:b w:val="0"/>
            <w:bCs w:val="0"/>
            <w:caps w:val="0"/>
            <w:noProof/>
            <w:sz w:val="22"/>
            <w:szCs w:val="22"/>
            <w:lang w:val="en-AU" w:eastAsia="en-AU" w:bidi="ar-SA"/>
          </w:rPr>
          <w:tab/>
        </w:r>
        <w:r w:rsidR="00B821B0" w:rsidRPr="006A44D1">
          <w:rPr>
            <w:rStyle w:val="Hyperlink"/>
            <w:noProof/>
          </w:rPr>
          <w:t>Summary of the assessment</w:t>
        </w:r>
        <w:r w:rsidR="00B821B0">
          <w:rPr>
            <w:noProof/>
            <w:webHidden/>
          </w:rPr>
          <w:tab/>
        </w:r>
        <w:r w:rsidR="00B821B0">
          <w:rPr>
            <w:noProof/>
            <w:webHidden/>
          </w:rPr>
          <w:fldChar w:fldCharType="begin"/>
        </w:r>
        <w:r w:rsidR="00B821B0">
          <w:rPr>
            <w:noProof/>
            <w:webHidden/>
          </w:rPr>
          <w:instrText xml:space="preserve"> PAGEREF _Toc125028805 \h </w:instrText>
        </w:r>
        <w:r w:rsidR="00B821B0">
          <w:rPr>
            <w:noProof/>
            <w:webHidden/>
          </w:rPr>
        </w:r>
        <w:r w:rsidR="00B821B0">
          <w:rPr>
            <w:noProof/>
            <w:webHidden/>
          </w:rPr>
          <w:fldChar w:fldCharType="separate"/>
        </w:r>
        <w:r w:rsidR="00756FB9">
          <w:rPr>
            <w:noProof/>
            <w:webHidden/>
          </w:rPr>
          <w:t>3</w:t>
        </w:r>
        <w:r w:rsidR="00B821B0">
          <w:rPr>
            <w:noProof/>
            <w:webHidden/>
          </w:rPr>
          <w:fldChar w:fldCharType="end"/>
        </w:r>
      </w:hyperlink>
    </w:p>
    <w:p w14:paraId="43466867" w14:textId="0370A99E" w:rsidR="00B821B0" w:rsidRDefault="003C3B0E">
      <w:pPr>
        <w:pStyle w:val="TOC2"/>
        <w:rPr>
          <w:rFonts w:eastAsiaTheme="minorEastAsia" w:cstheme="minorBidi"/>
          <w:smallCaps w:val="0"/>
          <w:noProof/>
          <w:sz w:val="22"/>
          <w:szCs w:val="22"/>
          <w:lang w:val="en-AU" w:eastAsia="en-AU" w:bidi="ar-SA"/>
        </w:rPr>
      </w:pPr>
      <w:hyperlink w:anchor="_Toc125028806" w:history="1">
        <w:r w:rsidR="00B821B0" w:rsidRPr="006A44D1">
          <w:rPr>
            <w:rStyle w:val="Hyperlink"/>
            <w:noProof/>
          </w:rPr>
          <w:t>2.1</w:t>
        </w:r>
        <w:r w:rsidR="00B821B0">
          <w:rPr>
            <w:rFonts w:eastAsiaTheme="minorEastAsia" w:cstheme="minorBidi"/>
            <w:smallCaps w:val="0"/>
            <w:noProof/>
            <w:sz w:val="22"/>
            <w:szCs w:val="22"/>
            <w:lang w:val="en-AU" w:eastAsia="en-AU" w:bidi="ar-SA"/>
          </w:rPr>
          <w:tab/>
        </w:r>
        <w:r w:rsidR="00B821B0" w:rsidRPr="006A44D1">
          <w:rPr>
            <w:rStyle w:val="Hyperlink"/>
            <w:noProof/>
          </w:rPr>
          <w:t>Risk assessment</w:t>
        </w:r>
        <w:r w:rsidR="00B821B0">
          <w:rPr>
            <w:noProof/>
            <w:webHidden/>
          </w:rPr>
          <w:tab/>
        </w:r>
        <w:r w:rsidR="00B821B0">
          <w:rPr>
            <w:noProof/>
            <w:webHidden/>
          </w:rPr>
          <w:fldChar w:fldCharType="begin"/>
        </w:r>
        <w:r w:rsidR="00B821B0">
          <w:rPr>
            <w:noProof/>
            <w:webHidden/>
          </w:rPr>
          <w:instrText xml:space="preserve"> PAGEREF _Toc125028806 \h </w:instrText>
        </w:r>
        <w:r w:rsidR="00B821B0">
          <w:rPr>
            <w:noProof/>
            <w:webHidden/>
          </w:rPr>
        </w:r>
        <w:r w:rsidR="00B821B0">
          <w:rPr>
            <w:noProof/>
            <w:webHidden/>
          </w:rPr>
          <w:fldChar w:fldCharType="separate"/>
        </w:r>
        <w:r w:rsidR="00756FB9">
          <w:rPr>
            <w:noProof/>
            <w:webHidden/>
          </w:rPr>
          <w:t>3</w:t>
        </w:r>
        <w:r w:rsidR="00B821B0">
          <w:rPr>
            <w:noProof/>
            <w:webHidden/>
          </w:rPr>
          <w:fldChar w:fldCharType="end"/>
        </w:r>
      </w:hyperlink>
    </w:p>
    <w:p w14:paraId="7F200E8E" w14:textId="54F31324" w:rsidR="00B821B0" w:rsidRDefault="003C3B0E">
      <w:pPr>
        <w:pStyle w:val="TOC2"/>
        <w:rPr>
          <w:rFonts w:eastAsiaTheme="minorEastAsia" w:cstheme="minorBidi"/>
          <w:smallCaps w:val="0"/>
          <w:noProof/>
          <w:sz w:val="22"/>
          <w:szCs w:val="22"/>
          <w:lang w:val="en-AU" w:eastAsia="en-AU" w:bidi="ar-SA"/>
        </w:rPr>
      </w:pPr>
      <w:hyperlink w:anchor="_Toc125028807" w:history="1">
        <w:r w:rsidR="00B821B0" w:rsidRPr="006A44D1">
          <w:rPr>
            <w:rStyle w:val="Hyperlink"/>
            <w:noProof/>
          </w:rPr>
          <w:t>2.2</w:t>
        </w:r>
        <w:r w:rsidR="00B821B0">
          <w:rPr>
            <w:rFonts w:eastAsiaTheme="minorEastAsia" w:cstheme="minorBidi"/>
            <w:smallCaps w:val="0"/>
            <w:noProof/>
            <w:sz w:val="22"/>
            <w:szCs w:val="22"/>
            <w:lang w:val="en-AU" w:eastAsia="en-AU" w:bidi="ar-SA"/>
          </w:rPr>
          <w:tab/>
        </w:r>
        <w:r w:rsidR="00B821B0" w:rsidRPr="006A44D1">
          <w:rPr>
            <w:rStyle w:val="Hyperlink"/>
            <w:noProof/>
          </w:rPr>
          <w:t>Risk management</w:t>
        </w:r>
        <w:r w:rsidR="00B821B0">
          <w:rPr>
            <w:noProof/>
            <w:webHidden/>
          </w:rPr>
          <w:tab/>
        </w:r>
        <w:r w:rsidR="00B821B0">
          <w:rPr>
            <w:noProof/>
            <w:webHidden/>
          </w:rPr>
          <w:fldChar w:fldCharType="begin"/>
        </w:r>
        <w:r w:rsidR="00B821B0">
          <w:rPr>
            <w:noProof/>
            <w:webHidden/>
          </w:rPr>
          <w:instrText xml:space="preserve"> PAGEREF _Toc125028807 \h </w:instrText>
        </w:r>
        <w:r w:rsidR="00B821B0">
          <w:rPr>
            <w:noProof/>
            <w:webHidden/>
          </w:rPr>
        </w:r>
        <w:r w:rsidR="00B821B0">
          <w:rPr>
            <w:noProof/>
            <w:webHidden/>
          </w:rPr>
          <w:fldChar w:fldCharType="separate"/>
        </w:r>
        <w:r w:rsidR="00756FB9">
          <w:rPr>
            <w:noProof/>
            <w:webHidden/>
          </w:rPr>
          <w:t>3</w:t>
        </w:r>
        <w:r w:rsidR="00B821B0">
          <w:rPr>
            <w:noProof/>
            <w:webHidden/>
          </w:rPr>
          <w:fldChar w:fldCharType="end"/>
        </w:r>
      </w:hyperlink>
    </w:p>
    <w:p w14:paraId="0BDB674F" w14:textId="7C414A64" w:rsidR="00B821B0" w:rsidRDefault="003C3B0E">
      <w:pPr>
        <w:pStyle w:val="TOC2"/>
        <w:rPr>
          <w:rFonts w:eastAsiaTheme="minorEastAsia" w:cstheme="minorBidi"/>
          <w:smallCaps w:val="0"/>
          <w:noProof/>
          <w:sz w:val="22"/>
          <w:szCs w:val="22"/>
          <w:lang w:val="en-AU" w:eastAsia="en-AU" w:bidi="ar-SA"/>
        </w:rPr>
      </w:pPr>
      <w:hyperlink w:anchor="_Toc125028808" w:history="1">
        <w:r w:rsidR="00B821B0" w:rsidRPr="006A44D1">
          <w:rPr>
            <w:rStyle w:val="Hyperlink"/>
            <w:noProof/>
          </w:rPr>
          <w:t>2.3</w:t>
        </w:r>
        <w:r w:rsidR="00B821B0">
          <w:rPr>
            <w:rFonts w:eastAsiaTheme="minorEastAsia" w:cstheme="minorBidi"/>
            <w:smallCaps w:val="0"/>
            <w:noProof/>
            <w:sz w:val="22"/>
            <w:szCs w:val="22"/>
            <w:lang w:val="en-AU" w:eastAsia="en-AU" w:bidi="ar-SA"/>
          </w:rPr>
          <w:tab/>
        </w:r>
        <w:r w:rsidR="00B821B0" w:rsidRPr="006A44D1">
          <w:rPr>
            <w:rStyle w:val="Hyperlink"/>
            <w:noProof/>
          </w:rPr>
          <w:t>Risk communication</w:t>
        </w:r>
        <w:r w:rsidR="00B821B0">
          <w:rPr>
            <w:noProof/>
            <w:webHidden/>
          </w:rPr>
          <w:tab/>
        </w:r>
        <w:r w:rsidR="00B821B0">
          <w:rPr>
            <w:noProof/>
            <w:webHidden/>
          </w:rPr>
          <w:fldChar w:fldCharType="begin"/>
        </w:r>
        <w:r w:rsidR="00B821B0">
          <w:rPr>
            <w:noProof/>
            <w:webHidden/>
          </w:rPr>
          <w:instrText xml:space="preserve"> PAGEREF _Toc125028808 \h </w:instrText>
        </w:r>
        <w:r w:rsidR="00B821B0">
          <w:rPr>
            <w:noProof/>
            <w:webHidden/>
          </w:rPr>
        </w:r>
        <w:r w:rsidR="00B821B0">
          <w:rPr>
            <w:noProof/>
            <w:webHidden/>
          </w:rPr>
          <w:fldChar w:fldCharType="separate"/>
        </w:r>
        <w:r w:rsidR="00756FB9">
          <w:rPr>
            <w:noProof/>
            <w:webHidden/>
          </w:rPr>
          <w:t>4</w:t>
        </w:r>
        <w:r w:rsidR="00B821B0">
          <w:rPr>
            <w:noProof/>
            <w:webHidden/>
          </w:rPr>
          <w:fldChar w:fldCharType="end"/>
        </w:r>
      </w:hyperlink>
    </w:p>
    <w:p w14:paraId="7B16EFC7" w14:textId="148A79E1" w:rsidR="00B821B0" w:rsidRDefault="003C3B0E">
      <w:pPr>
        <w:pStyle w:val="TOC3"/>
        <w:rPr>
          <w:rFonts w:eastAsiaTheme="minorEastAsia" w:cstheme="minorBidi"/>
          <w:i w:val="0"/>
          <w:iCs w:val="0"/>
          <w:noProof/>
          <w:sz w:val="22"/>
          <w:szCs w:val="22"/>
          <w:lang w:val="en-AU" w:eastAsia="en-AU" w:bidi="ar-SA"/>
        </w:rPr>
      </w:pPr>
      <w:hyperlink w:anchor="_Toc125028809" w:history="1">
        <w:r w:rsidR="00B821B0" w:rsidRPr="006A44D1">
          <w:rPr>
            <w:rStyle w:val="Hyperlink"/>
            <w:noProof/>
          </w:rPr>
          <w:t>2.3.1</w:t>
        </w:r>
        <w:r w:rsidR="00B821B0">
          <w:rPr>
            <w:rFonts w:eastAsiaTheme="minorEastAsia" w:cstheme="minorBidi"/>
            <w:i w:val="0"/>
            <w:iCs w:val="0"/>
            <w:noProof/>
            <w:sz w:val="22"/>
            <w:szCs w:val="22"/>
            <w:lang w:val="en-AU" w:eastAsia="en-AU" w:bidi="ar-SA"/>
          </w:rPr>
          <w:tab/>
        </w:r>
        <w:r w:rsidR="00B821B0" w:rsidRPr="006A44D1">
          <w:rPr>
            <w:rStyle w:val="Hyperlink"/>
            <w:noProof/>
          </w:rPr>
          <w:t>Consultation</w:t>
        </w:r>
        <w:r w:rsidR="00B821B0">
          <w:rPr>
            <w:noProof/>
            <w:webHidden/>
          </w:rPr>
          <w:tab/>
        </w:r>
        <w:r w:rsidR="00B821B0">
          <w:rPr>
            <w:noProof/>
            <w:webHidden/>
          </w:rPr>
          <w:fldChar w:fldCharType="begin"/>
        </w:r>
        <w:r w:rsidR="00B821B0">
          <w:rPr>
            <w:noProof/>
            <w:webHidden/>
          </w:rPr>
          <w:instrText xml:space="preserve"> PAGEREF _Toc125028809 \h </w:instrText>
        </w:r>
        <w:r w:rsidR="00B821B0">
          <w:rPr>
            <w:noProof/>
            <w:webHidden/>
          </w:rPr>
        </w:r>
        <w:r w:rsidR="00B821B0">
          <w:rPr>
            <w:noProof/>
            <w:webHidden/>
          </w:rPr>
          <w:fldChar w:fldCharType="separate"/>
        </w:r>
        <w:r w:rsidR="00756FB9">
          <w:rPr>
            <w:noProof/>
            <w:webHidden/>
          </w:rPr>
          <w:t>4</w:t>
        </w:r>
        <w:r w:rsidR="00B821B0">
          <w:rPr>
            <w:noProof/>
            <w:webHidden/>
          </w:rPr>
          <w:fldChar w:fldCharType="end"/>
        </w:r>
      </w:hyperlink>
    </w:p>
    <w:p w14:paraId="39F99A55" w14:textId="0140F6E6" w:rsidR="00B821B0" w:rsidRDefault="003C3B0E">
      <w:pPr>
        <w:pStyle w:val="TOC3"/>
        <w:rPr>
          <w:rFonts w:eastAsiaTheme="minorEastAsia" w:cstheme="minorBidi"/>
          <w:i w:val="0"/>
          <w:iCs w:val="0"/>
          <w:noProof/>
          <w:sz w:val="22"/>
          <w:szCs w:val="22"/>
          <w:lang w:val="en-AU" w:eastAsia="en-AU" w:bidi="ar-SA"/>
        </w:rPr>
      </w:pPr>
      <w:hyperlink w:anchor="_Toc125028810" w:history="1">
        <w:r w:rsidR="00B821B0" w:rsidRPr="006A44D1">
          <w:rPr>
            <w:rStyle w:val="Hyperlink"/>
            <w:noProof/>
          </w:rPr>
          <w:t>2.3.2</w:t>
        </w:r>
        <w:r w:rsidR="00B821B0">
          <w:rPr>
            <w:rFonts w:eastAsiaTheme="minorEastAsia" w:cstheme="minorBidi"/>
            <w:i w:val="0"/>
            <w:iCs w:val="0"/>
            <w:noProof/>
            <w:sz w:val="22"/>
            <w:szCs w:val="22"/>
            <w:lang w:val="en-AU" w:eastAsia="en-AU" w:bidi="ar-SA"/>
          </w:rPr>
          <w:tab/>
        </w:r>
        <w:r w:rsidR="00B821B0" w:rsidRPr="006A44D1">
          <w:rPr>
            <w:rStyle w:val="Hyperlink"/>
            <w:noProof/>
          </w:rPr>
          <w:t>World Trade Organization (WTO)</w:t>
        </w:r>
        <w:r w:rsidR="00B821B0">
          <w:rPr>
            <w:noProof/>
            <w:webHidden/>
          </w:rPr>
          <w:tab/>
        </w:r>
        <w:r w:rsidR="00B821B0">
          <w:rPr>
            <w:noProof/>
            <w:webHidden/>
          </w:rPr>
          <w:fldChar w:fldCharType="begin"/>
        </w:r>
        <w:r w:rsidR="00B821B0">
          <w:rPr>
            <w:noProof/>
            <w:webHidden/>
          </w:rPr>
          <w:instrText xml:space="preserve"> PAGEREF _Toc125028810 \h </w:instrText>
        </w:r>
        <w:r w:rsidR="00B821B0">
          <w:rPr>
            <w:noProof/>
            <w:webHidden/>
          </w:rPr>
        </w:r>
        <w:r w:rsidR="00B821B0">
          <w:rPr>
            <w:noProof/>
            <w:webHidden/>
          </w:rPr>
          <w:fldChar w:fldCharType="separate"/>
        </w:r>
        <w:r w:rsidR="00756FB9">
          <w:rPr>
            <w:noProof/>
            <w:webHidden/>
          </w:rPr>
          <w:t>4</w:t>
        </w:r>
        <w:r w:rsidR="00B821B0">
          <w:rPr>
            <w:noProof/>
            <w:webHidden/>
          </w:rPr>
          <w:fldChar w:fldCharType="end"/>
        </w:r>
      </w:hyperlink>
    </w:p>
    <w:p w14:paraId="37A27E3B" w14:textId="77378951" w:rsidR="00B821B0" w:rsidRDefault="003C3B0E">
      <w:pPr>
        <w:pStyle w:val="TOC2"/>
        <w:rPr>
          <w:rFonts w:eastAsiaTheme="minorEastAsia" w:cstheme="minorBidi"/>
          <w:smallCaps w:val="0"/>
          <w:noProof/>
          <w:sz w:val="22"/>
          <w:szCs w:val="22"/>
          <w:lang w:val="en-AU" w:eastAsia="en-AU" w:bidi="ar-SA"/>
        </w:rPr>
      </w:pPr>
      <w:hyperlink w:anchor="_Toc125028811" w:history="1">
        <w:r w:rsidR="00B821B0" w:rsidRPr="006A44D1">
          <w:rPr>
            <w:rStyle w:val="Hyperlink"/>
            <w:noProof/>
          </w:rPr>
          <w:t>2.4</w:t>
        </w:r>
        <w:r w:rsidR="00B821B0">
          <w:rPr>
            <w:rFonts w:eastAsiaTheme="minorEastAsia" w:cstheme="minorBidi"/>
            <w:smallCaps w:val="0"/>
            <w:noProof/>
            <w:sz w:val="22"/>
            <w:szCs w:val="22"/>
            <w:lang w:val="en-AU" w:eastAsia="en-AU" w:bidi="ar-SA"/>
          </w:rPr>
          <w:tab/>
        </w:r>
        <w:r w:rsidR="00B821B0" w:rsidRPr="006A44D1">
          <w:rPr>
            <w:rStyle w:val="Hyperlink"/>
            <w:noProof/>
          </w:rPr>
          <w:t>FSANZ Act assessment requirements</w:t>
        </w:r>
        <w:r w:rsidR="00B821B0">
          <w:rPr>
            <w:noProof/>
            <w:webHidden/>
          </w:rPr>
          <w:tab/>
        </w:r>
        <w:r w:rsidR="00B821B0">
          <w:rPr>
            <w:noProof/>
            <w:webHidden/>
          </w:rPr>
          <w:fldChar w:fldCharType="begin"/>
        </w:r>
        <w:r w:rsidR="00B821B0">
          <w:rPr>
            <w:noProof/>
            <w:webHidden/>
          </w:rPr>
          <w:instrText xml:space="preserve"> PAGEREF _Toc125028811 \h </w:instrText>
        </w:r>
        <w:r w:rsidR="00B821B0">
          <w:rPr>
            <w:noProof/>
            <w:webHidden/>
          </w:rPr>
        </w:r>
        <w:r w:rsidR="00B821B0">
          <w:rPr>
            <w:noProof/>
            <w:webHidden/>
          </w:rPr>
          <w:fldChar w:fldCharType="separate"/>
        </w:r>
        <w:r w:rsidR="00756FB9">
          <w:rPr>
            <w:noProof/>
            <w:webHidden/>
          </w:rPr>
          <w:t>4</w:t>
        </w:r>
        <w:r w:rsidR="00B821B0">
          <w:rPr>
            <w:noProof/>
            <w:webHidden/>
          </w:rPr>
          <w:fldChar w:fldCharType="end"/>
        </w:r>
      </w:hyperlink>
    </w:p>
    <w:p w14:paraId="6FD15E9E" w14:textId="00A4056D" w:rsidR="00B821B0" w:rsidRDefault="003C3B0E">
      <w:pPr>
        <w:pStyle w:val="TOC3"/>
        <w:rPr>
          <w:rFonts w:eastAsiaTheme="minorEastAsia" w:cstheme="minorBidi"/>
          <w:i w:val="0"/>
          <w:iCs w:val="0"/>
          <w:noProof/>
          <w:sz w:val="22"/>
          <w:szCs w:val="22"/>
          <w:lang w:val="en-AU" w:eastAsia="en-AU" w:bidi="ar-SA"/>
        </w:rPr>
      </w:pPr>
      <w:hyperlink w:anchor="_Toc125028812" w:history="1">
        <w:r w:rsidR="00B821B0" w:rsidRPr="006A44D1">
          <w:rPr>
            <w:rStyle w:val="Hyperlink"/>
            <w:noProof/>
          </w:rPr>
          <w:t>2.4.1</w:t>
        </w:r>
        <w:r w:rsidR="00B821B0">
          <w:rPr>
            <w:rFonts w:eastAsiaTheme="minorEastAsia" w:cstheme="minorBidi"/>
            <w:i w:val="0"/>
            <w:iCs w:val="0"/>
            <w:noProof/>
            <w:sz w:val="22"/>
            <w:szCs w:val="22"/>
            <w:lang w:val="en-AU" w:eastAsia="en-AU" w:bidi="ar-SA"/>
          </w:rPr>
          <w:tab/>
        </w:r>
        <w:r w:rsidR="00B821B0" w:rsidRPr="006A44D1">
          <w:rPr>
            <w:rStyle w:val="Hyperlink"/>
            <w:noProof/>
          </w:rPr>
          <w:t>Section 59</w:t>
        </w:r>
        <w:r w:rsidR="00B821B0">
          <w:rPr>
            <w:noProof/>
            <w:webHidden/>
          </w:rPr>
          <w:tab/>
        </w:r>
        <w:r w:rsidR="00B821B0">
          <w:rPr>
            <w:noProof/>
            <w:webHidden/>
          </w:rPr>
          <w:fldChar w:fldCharType="begin"/>
        </w:r>
        <w:r w:rsidR="00B821B0">
          <w:rPr>
            <w:noProof/>
            <w:webHidden/>
          </w:rPr>
          <w:instrText xml:space="preserve"> PAGEREF _Toc125028812 \h </w:instrText>
        </w:r>
        <w:r w:rsidR="00B821B0">
          <w:rPr>
            <w:noProof/>
            <w:webHidden/>
          </w:rPr>
        </w:r>
        <w:r w:rsidR="00B821B0">
          <w:rPr>
            <w:noProof/>
            <w:webHidden/>
          </w:rPr>
          <w:fldChar w:fldCharType="separate"/>
        </w:r>
        <w:r w:rsidR="00756FB9">
          <w:rPr>
            <w:noProof/>
            <w:webHidden/>
          </w:rPr>
          <w:t>4</w:t>
        </w:r>
        <w:r w:rsidR="00B821B0">
          <w:rPr>
            <w:noProof/>
            <w:webHidden/>
          </w:rPr>
          <w:fldChar w:fldCharType="end"/>
        </w:r>
      </w:hyperlink>
    </w:p>
    <w:p w14:paraId="4E27D4A6" w14:textId="18C0ED30" w:rsidR="00B821B0" w:rsidRDefault="003C3B0E">
      <w:pPr>
        <w:pStyle w:val="TOC3"/>
        <w:rPr>
          <w:rFonts w:eastAsiaTheme="minorEastAsia" w:cstheme="minorBidi"/>
          <w:i w:val="0"/>
          <w:iCs w:val="0"/>
          <w:noProof/>
          <w:sz w:val="22"/>
          <w:szCs w:val="22"/>
          <w:lang w:val="en-AU" w:eastAsia="en-AU" w:bidi="ar-SA"/>
        </w:rPr>
      </w:pPr>
      <w:hyperlink w:anchor="_Toc125028813" w:history="1">
        <w:r w:rsidR="00B821B0" w:rsidRPr="006A44D1">
          <w:rPr>
            <w:rStyle w:val="Hyperlink"/>
            <w:noProof/>
          </w:rPr>
          <w:t>2.4.2.</w:t>
        </w:r>
        <w:r w:rsidR="00B821B0">
          <w:rPr>
            <w:rFonts w:eastAsiaTheme="minorEastAsia" w:cstheme="minorBidi"/>
            <w:i w:val="0"/>
            <w:iCs w:val="0"/>
            <w:noProof/>
            <w:sz w:val="22"/>
            <w:szCs w:val="22"/>
            <w:lang w:val="en-AU" w:eastAsia="en-AU" w:bidi="ar-SA"/>
          </w:rPr>
          <w:tab/>
        </w:r>
        <w:r w:rsidR="00B821B0" w:rsidRPr="006A44D1">
          <w:rPr>
            <w:rStyle w:val="Hyperlink"/>
            <w:noProof/>
          </w:rPr>
          <w:t>Subsection 18(1)</w:t>
        </w:r>
        <w:r w:rsidR="00B821B0">
          <w:rPr>
            <w:noProof/>
            <w:webHidden/>
          </w:rPr>
          <w:tab/>
        </w:r>
        <w:r w:rsidR="00B821B0">
          <w:rPr>
            <w:noProof/>
            <w:webHidden/>
          </w:rPr>
          <w:fldChar w:fldCharType="begin"/>
        </w:r>
        <w:r w:rsidR="00B821B0">
          <w:rPr>
            <w:noProof/>
            <w:webHidden/>
          </w:rPr>
          <w:instrText xml:space="preserve"> PAGEREF _Toc125028813 \h </w:instrText>
        </w:r>
        <w:r w:rsidR="00B821B0">
          <w:rPr>
            <w:noProof/>
            <w:webHidden/>
          </w:rPr>
        </w:r>
        <w:r w:rsidR="00B821B0">
          <w:rPr>
            <w:noProof/>
            <w:webHidden/>
          </w:rPr>
          <w:fldChar w:fldCharType="separate"/>
        </w:r>
        <w:r w:rsidR="00756FB9">
          <w:rPr>
            <w:noProof/>
            <w:webHidden/>
          </w:rPr>
          <w:t>5</w:t>
        </w:r>
        <w:r w:rsidR="00B821B0">
          <w:rPr>
            <w:noProof/>
            <w:webHidden/>
          </w:rPr>
          <w:fldChar w:fldCharType="end"/>
        </w:r>
      </w:hyperlink>
    </w:p>
    <w:p w14:paraId="6915CAE1" w14:textId="199BDA40" w:rsidR="00B821B0" w:rsidRDefault="003C3B0E">
      <w:pPr>
        <w:pStyle w:val="TOC3"/>
        <w:rPr>
          <w:rFonts w:eastAsiaTheme="minorEastAsia" w:cstheme="minorBidi"/>
          <w:i w:val="0"/>
          <w:iCs w:val="0"/>
          <w:noProof/>
          <w:sz w:val="22"/>
          <w:szCs w:val="22"/>
          <w:lang w:val="en-AU" w:eastAsia="en-AU" w:bidi="ar-SA"/>
        </w:rPr>
      </w:pPr>
      <w:hyperlink w:anchor="_Toc125028814" w:history="1">
        <w:r w:rsidR="00B821B0" w:rsidRPr="006A44D1">
          <w:rPr>
            <w:rStyle w:val="Hyperlink"/>
            <w:noProof/>
          </w:rPr>
          <w:t>2.4.3</w:t>
        </w:r>
        <w:r w:rsidR="00B821B0">
          <w:rPr>
            <w:rFonts w:eastAsiaTheme="minorEastAsia" w:cstheme="minorBidi"/>
            <w:i w:val="0"/>
            <w:iCs w:val="0"/>
            <w:noProof/>
            <w:sz w:val="22"/>
            <w:szCs w:val="22"/>
            <w:lang w:val="en-AU" w:eastAsia="en-AU" w:bidi="ar-SA"/>
          </w:rPr>
          <w:tab/>
        </w:r>
        <w:r w:rsidR="00B821B0" w:rsidRPr="006A44D1">
          <w:rPr>
            <w:rStyle w:val="Hyperlink"/>
            <w:noProof/>
          </w:rPr>
          <w:t>Subsection 18(2) considerations</w:t>
        </w:r>
        <w:r w:rsidR="00B821B0">
          <w:rPr>
            <w:noProof/>
            <w:webHidden/>
          </w:rPr>
          <w:tab/>
        </w:r>
        <w:r w:rsidR="00B821B0">
          <w:rPr>
            <w:noProof/>
            <w:webHidden/>
          </w:rPr>
          <w:fldChar w:fldCharType="begin"/>
        </w:r>
        <w:r w:rsidR="00B821B0">
          <w:rPr>
            <w:noProof/>
            <w:webHidden/>
          </w:rPr>
          <w:instrText xml:space="preserve"> PAGEREF _Toc125028814 \h </w:instrText>
        </w:r>
        <w:r w:rsidR="00B821B0">
          <w:rPr>
            <w:noProof/>
            <w:webHidden/>
          </w:rPr>
        </w:r>
        <w:r w:rsidR="00B821B0">
          <w:rPr>
            <w:noProof/>
            <w:webHidden/>
          </w:rPr>
          <w:fldChar w:fldCharType="separate"/>
        </w:r>
        <w:r w:rsidR="00756FB9">
          <w:rPr>
            <w:noProof/>
            <w:webHidden/>
          </w:rPr>
          <w:t>5</w:t>
        </w:r>
        <w:r w:rsidR="00B821B0">
          <w:rPr>
            <w:noProof/>
            <w:webHidden/>
          </w:rPr>
          <w:fldChar w:fldCharType="end"/>
        </w:r>
      </w:hyperlink>
    </w:p>
    <w:p w14:paraId="04150D22" w14:textId="16B26D86" w:rsidR="00B821B0" w:rsidRDefault="003C3B0E">
      <w:pPr>
        <w:pStyle w:val="TOC1"/>
        <w:rPr>
          <w:rFonts w:eastAsiaTheme="minorEastAsia" w:cstheme="minorBidi"/>
          <w:b w:val="0"/>
          <w:bCs w:val="0"/>
          <w:caps w:val="0"/>
          <w:noProof/>
          <w:sz w:val="22"/>
          <w:szCs w:val="22"/>
          <w:lang w:val="en-AU" w:eastAsia="en-AU" w:bidi="ar-SA"/>
        </w:rPr>
      </w:pPr>
      <w:hyperlink w:anchor="_Toc125028815" w:history="1">
        <w:r w:rsidR="00B821B0" w:rsidRPr="006A44D1">
          <w:rPr>
            <w:rStyle w:val="Hyperlink"/>
            <w:noProof/>
          </w:rPr>
          <w:t>3</w:t>
        </w:r>
        <w:r w:rsidR="00B821B0">
          <w:rPr>
            <w:rFonts w:eastAsiaTheme="minorEastAsia" w:cstheme="minorBidi"/>
            <w:b w:val="0"/>
            <w:bCs w:val="0"/>
            <w:caps w:val="0"/>
            <w:noProof/>
            <w:sz w:val="22"/>
            <w:szCs w:val="22"/>
            <w:lang w:val="en-AU" w:eastAsia="en-AU" w:bidi="ar-SA"/>
          </w:rPr>
          <w:tab/>
        </w:r>
        <w:r w:rsidR="00B821B0" w:rsidRPr="006A44D1">
          <w:rPr>
            <w:rStyle w:val="Hyperlink"/>
            <w:noProof/>
          </w:rPr>
          <w:t>Draft variation</w:t>
        </w:r>
        <w:r w:rsidR="00B821B0">
          <w:rPr>
            <w:noProof/>
            <w:webHidden/>
          </w:rPr>
          <w:tab/>
        </w:r>
        <w:r w:rsidR="00B821B0">
          <w:rPr>
            <w:noProof/>
            <w:webHidden/>
          </w:rPr>
          <w:fldChar w:fldCharType="begin"/>
        </w:r>
        <w:r w:rsidR="00B821B0">
          <w:rPr>
            <w:noProof/>
            <w:webHidden/>
          </w:rPr>
          <w:instrText xml:space="preserve"> PAGEREF _Toc125028815 \h </w:instrText>
        </w:r>
        <w:r w:rsidR="00B821B0">
          <w:rPr>
            <w:noProof/>
            <w:webHidden/>
          </w:rPr>
        </w:r>
        <w:r w:rsidR="00B821B0">
          <w:rPr>
            <w:noProof/>
            <w:webHidden/>
          </w:rPr>
          <w:fldChar w:fldCharType="separate"/>
        </w:r>
        <w:r w:rsidR="00756FB9">
          <w:rPr>
            <w:noProof/>
            <w:webHidden/>
          </w:rPr>
          <w:t>5</w:t>
        </w:r>
        <w:r w:rsidR="00B821B0">
          <w:rPr>
            <w:noProof/>
            <w:webHidden/>
          </w:rPr>
          <w:fldChar w:fldCharType="end"/>
        </w:r>
      </w:hyperlink>
    </w:p>
    <w:p w14:paraId="36A57A57" w14:textId="353E960E" w:rsidR="00B821B0" w:rsidRDefault="003C3B0E">
      <w:pPr>
        <w:pStyle w:val="TOC2"/>
        <w:rPr>
          <w:rFonts w:eastAsiaTheme="minorEastAsia" w:cstheme="minorBidi"/>
          <w:smallCaps w:val="0"/>
          <w:noProof/>
          <w:sz w:val="22"/>
          <w:szCs w:val="22"/>
          <w:lang w:val="en-AU" w:eastAsia="en-AU" w:bidi="ar-SA"/>
        </w:rPr>
      </w:pPr>
      <w:hyperlink w:anchor="_Toc125028816" w:history="1">
        <w:r w:rsidR="00B821B0" w:rsidRPr="006A44D1">
          <w:rPr>
            <w:rStyle w:val="Hyperlink"/>
            <w:noProof/>
          </w:rPr>
          <w:t xml:space="preserve">Attachment A – Draft variation to the </w:t>
        </w:r>
        <w:r w:rsidR="00B821B0" w:rsidRPr="006A44D1">
          <w:rPr>
            <w:rStyle w:val="Hyperlink"/>
            <w:iCs/>
            <w:noProof/>
          </w:rPr>
          <w:t>Australia New Zealand Food Standards Code</w:t>
        </w:r>
        <w:r w:rsidR="00B821B0">
          <w:rPr>
            <w:noProof/>
            <w:webHidden/>
          </w:rPr>
          <w:tab/>
        </w:r>
        <w:r w:rsidR="00B821B0">
          <w:rPr>
            <w:noProof/>
            <w:webHidden/>
          </w:rPr>
          <w:fldChar w:fldCharType="begin"/>
        </w:r>
        <w:r w:rsidR="00B821B0">
          <w:rPr>
            <w:noProof/>
            <w:webHidden/>
          </w:rPr>
          <w:instrText xml:space="preserve"> PAGEREF _Toc125028816 \h </w:instrText>
        </w:r>
        <w:r w:rsidR="00B821B0">
          <w:rPr>
            <w:noProof/>
            <w:webHidden/>
          </w:rPr>
        </w:r>
        <w:r w:rsidR="00B821B0">
          <w:rPr>
            <w:noProof/>
            <w:webHidden/>
          </w:rPr>
          <w:fldChar w:fldCharType="separate"/>
        </w:r>
        <w:r w:rsidR="00756FB9">
          <w:rPr>
            <w:noProof/>
            <w:webHidden/>
          </w:rPr>
          <w:t>6</w:t>
        </w:r>
        <w:r w:rsidR="00B821B0">
          <w:rPr>
            <w:noProof/>
            <w:webHidden/>
          </w:rPr>
          <w:fldChar w:fldCharType="end"/>
        </w:r>
      </w:hyperlink>
    </w:p>
    <w:p w14:paraId="05531CCC" w14:textId="130A75AE" w:rsidR="00B821B0" w:rsidRDefault="003C3B0E">
      <w:pPr>
        <w:pStyle w:val="TOC2"/>
        <w:rPr>
          <w:rFonts w:eastAsiaTheme="minorEastAsia" w:cstheme="minorBidi"/>
          <w:smallCaps w:val="0"/>
          <w:noProof/>
          <w:sz w:val="22"/>
          <w:szCs w:val="22"/>
          <w:lang w:val="en-AU" w:eastAsia="en-AU" w:bidi="ar-SA"/>
        </w:rPr>
      </w:pPr>
      <w:hyperlink w:anchor="_Toc125028817" w:history="1">
        <w:r w:rsidR="00B821B0" w:rsidRPr="006A44D1">
          <w:rPr>
            <w:rStyle w:val="Hyperlink"/>
            <w:noProof/>
          </w:rPr>
          <w:t>Attachment B – Draft Explanatory Statement</w:t>
        </w:r>
        <w:r w:rsidR="00B821B0">
          <w:rPr>
            <w:noProof/>
            <w:webHidden/>
          </w:rPr>
          <w:tab/>
        </w:r>
        <w:r w:rsidR="00B821B0">
          <w:rPr>
            <w:noProof/>
            <w:webHidden/>
          </w:rPr>
          <w:fldChar w:fldCharType="begin"/>
        </w:r>
        <w:r w:rsidR="00B821B0">
          <w:rPr>
            <w:noProof/>
            <w:webHidden/>
          </w:rPr>
          <w:instrText xml:space="preserve"> PAGEREF _Toc125028817 \h </w:instrText>
        </w:r>
        <w:r w:rsidR="00B821B0">
          <w:rPr>
            <w:noProof/>
            <w:webHidden/>
          </w:rPr>
        </w:r>
        <w:r w:rsidR="00B821B0">
          <w:rPr>
            <w:noProof/>
            <w:webHidden/>
          </w:rPr>
          <w:fldChar w:fldCharType="separate"/>
        </w:r>
        <w:r w:rsidR="00756FB9">
          <w:rPr>
            <w:noProof/>
            <w:webHidden/>
          </w:rPr>
          <w:t>16</w:t>
        </w:r>
        <w:r w:rsidR="00B821B0">
          <w:rPr>
            <w:noProof/>
            <w:webHidden/>
          </w:rPr>
          <w:fldChar w:fldCharType="end"/>
        </w:r>
      </w:hyperlink>
    </w:p>
    <w:p w14:paraId="3704C935" w14:textId="608472A2" w:rsidR="00051ED9" w:rsidRPr="0059227F" w:rsidRDefault="00051ED9" w:rsidP="00051ED9">
      <w:pPr>
        <w:rPr>
          <w:rFonts w:cs="Arial"/>
        </w:rPr>
      </w:pPr>
      <w:r w:rsidRPr="002C4A91">
        <w:rPr>
          <w:rFonts w:cs="Arial"/>
          <w:sz w:val="20"/>
          <w:szCs w:val="20"/>
        </w:rPr>
        <w:fldChar w:fldCharType="end"/>
      </w:r>
    </w:p>
    <w:p w14:paraId="4DA7B81E" w14:textId="77777777" w:rsidR="00D73931" w:rsidRPr="00E203C2" w:rsidRDefault="00D73931" w:rsidP="00051ED9"/>
    <w:p w14:paraId="364F23C7" w14:textId="27CA6E42" w:rsidR="0037520F" w:rsidRPr="008844E4" w:rsidRDefault="0037520F" w:rsidP="0037520F">
      <w:pPr>
        <w:rPr>
          <w:b/>
          <w:szCs w:val="22"/>
        </w:rPr>
      </w:pPr>
      <w:r w:rsidRPr="008844E4">
        <w:rPr>
          <w:b/>
          <w:szCs w:val="22"/>
        </w:rPr>
        <w:t>Supporting document</w:t>
      </w:r>
    </w:p>
    <w:p w14:paraId="151C4AB5" w14:textId="77777777" w:rsidR="0037520F" w:rsidRPr="0089264A" w:rsidRDefault="0037520F" w:rsidP="0037520F">
      <w:pPr>
        <w:rPr>
          <w:szCs w:val="22"/>
        </w:rPr>
      </w:pPr>
    </w:p>
    <w:p w14:paraId="796ACB2E" w14:textId="43BDA441" w:rsidR="0037520F" w:rsidRPr="00FF094A" w:rsidRDefault="0037520F" w:rsidP="0037520F">
      <w:pPr>
        <w:rPr>
          <w:szCs w:val="22"/>
        </w:rPr>
      </w:pPr>
      <w:r w:rsidRPr="00FF094A">
        <w:rPr>
          <w:szCs w:val="22"/>
        </w:rPr>
        <w:t xml:space="preserve">The following document </w:t>
      </w:r>
      <w:r w:rsidR="00681754" w:rsidRPr="00FF094A">
        <w:rPr>
          <w:szCs w:val="22"/>
        </w:rPr>
        <w:t>which informed the assessment of this Proposal</w:t>
      </w:r>
      <w:r w:rsidRPr="00FF094A">
        <w:rPr>
          <w:szCs w:val="22"/>
        </w:rPr>
        <w:t xml:space="preserve"> </w:t>
      </w:r>
      <w:r w:rsidR="00FF094A" w:rsidRPr="00FF094A">
        <w:rPr>
          <w:szCs w:val="22"/>
        </w:rPr>
        <w:t>is</w:t>
      </w:r>
      <w:r w:rsidRPr="00FF094A">
        <w:rPr>
          <w:szCs w:val="22"/>
        </w:rPr>
        <w:t xml:space="preserve"> available on the FSANZ website</w:t>
      </w:r>
      <w:r w:rsidR="00820535" w:rsidRPr="00FF094A">
        <w:rPr>
          <w:szCs w:val="22"/>
        </w:rPr>
        <w:t>:</w:t>
      </w:r>
    </w:p>
    <w:p w14:paraId="1101A437" w14:textId="77777777" w:rsidR="0089264A" w:rsidRPr="0089264A" w:rsidRDefault="0089264A" w:rsidP="0089264A">
      <w:pPr>
        <w:rPr>
          <w:szCs w:val="22"/>
        </w:rPr>
      </w:pPr>
    </w:p>
    <w:p w14:paraId="392A70F2" w14:textId="72057F3D" w:rsidR="00FF094A" w:rsidRPr="00B06C4E" w:rsidRDefault="00FF094A" w:rsidP="00FF094A">
      <w:pPr>
        <w:ind w:left="1134" w:hanging="1134"/>
      </w:pPr>
      <w:r w:rsidRPr="00B06C4E">
        <w:t>SD</w:t>
      </w:r>
      <w:r w:rsidRPr="00B06C4E">
        <w:tab/>
      </w:r>
      <w:r>
        <w:t>List of proposed amendments – Proposal P1061</w:t>
      </w:r>
    </w:p>
    <w:p w14:paraId="7CD48908" w14:textId="77777777" w:rsidR="00051ED9" w:rsidRDefault="00562917" w:rsidP="00772BDC">
      <w:r w:rsidRPr="00E203C2">
        <w:br w:type="page"/>
      </w:r>
    </w:p>
    <w:p w14:paraId="0099E9E0" w14:textId="77777777" w:rsidR="00E063C6" w:rsidRDefault="00F33BB8" w:rsidP="000A5DF8">
      <w:pPr>
        <w:pStyle w:val="Heading1"/>
      </w:pPr>
      <w:bookmarkStart w:id="1" w:name="_Toc286391001"/>
      <w:bookmarkStart w:id="2" w:name="_Toc300933414"/>
      <w:bookmarkStart w:id="3" w:name="_Toc125028799"/>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40708836" w14:textId="77777777" w:rsidR="00AD6719" w:rsidRDefault="009A6A02" w:rsidP="009A6A02">
      <w:pPr>
        <w:rPr>
          <w:lang w:bidi="ar-SA"/>
        </w:rPr>
      </w:pPr>
      <w:bookmarkStart w:id="9" w:name="_Toc286391003"/>
      <w:r w:rsidRPr="009A6A02">
        <w:t>Food Standards Australia New Zealand (FSANZ)</w:t>
      </w:r>
      <w:r w:rsidRPr="0069507C">
        <w:t xml:space="preserve"> </w:t>
      </w:r>
      <w:r>
        <w:t xml:space="preserve">has prepared </w:t>
      </w:r>
      <w:r w:rsidRPr="00D84B6F">
        <w:t>Proposal P10</w:t>
      </w:r>
      <w:r>
        <w:t>61</w:t>
      </w:r>
      <w:r w:rsidRPr="00D84B6F">
        <w:t xml:space="preserve"> to</w:t>
      </w:r>
      <w:r w:rsidRPr="00B17F39">
        <w:t xml:space="preserve"> </w:t>
      </w:r>
      <w:r w:rsidR="00CA37A4">
        <w:t>amend</w:t>
      </w:r>
      <w:r>
        <w:rPr>
          <w:lang w:bidi="ar-SA"/>
        </w:rPr>
        <w:t xml:space="preserve"> the </w:t>
      </w:r>
      <w:r w:rsidRPr="00B17F39">
        <w:rPr>
          <w:i/>
          <w:lang w:bidi="ar-SA"/>
        </w:rPr>
        <w:t>Australia New Zealand Food Standards Code</w:t>
      </w:r>
      <w:r w:rsidRPr="00B17F39">
        <w:rPr>
          <w:lang w:bidi="ar-SA"/>
        </w:rPr>
        <w:t xml:space="preserve"> </w:t>
      </w:r>
      <w:r>
        <w:rPr>
          <w:lang w:bidi="ar-SA"/>
        </w:rPr>
        <w:t>(the Code</w:t>
      </w:r>
      <w:r w:rsidR="00CA37A4">
        <w:rPr>
          <w:lang w:bidi="ar-SA"/>
        </w:rPr>
        <w:t xml:space="preserve">) to: </w:t>
      </w:r>
    </w:p>
    <w:p w14:paraId="19EDDC17" w14:textId="4FFD72A5" w:rsidR="00AD6719" w:rsidRDefault="00CA37A4" w:rsidP="002A6663">
      <w:pPr>
        <w:pStyle w:val="ListParagraph"/>
        <w:numPr>
          <w:ilvl w:val="0"/>
          <w:numId w:val="20"/>
        </w:numPr>
        <w:rPr>
          <w:lang w:bidi="ar-SA"/>
        </w:rPr>
      </w:pPr>
      <w:r>
        <w:rPr>
          <w:lang w:bidi="ar-SA"/>
        </w:rPr>
        <w:t>correct</w:t>
      </w:r>
      <w:r w:rsidR="009A6A02" w:rsidRPr="008240A8">
        <w:rPr>
          <w:lang w:bidi="ar-SA"/>
        </w:rPr>
        <w:t xml:space="preserve"> typographical errors</w:t>
      </w:r>
      <w:r w:rsidR="00D43920">
        <w:rPr>
          <w:lang w:bidi="ar-SA"/>
        </w:rPr>
        <w:t>, omissions</w:t>
      </w:r>
      <w:r w:rsidR="008244A4">
        <w:rPr>
          <w:lang w:bidi="ar-SA"/>
        </w:rPr>
        <w:t>, inconsistencies</w:t>
      </w:r>
      <w:r w:rsidR="009A6A02">
        <w:rPr>
          <w:lang w:bidi="ar-SA"/>
        </w:rPr>
        <w:t xml:space="preserve"> </w:t>
      </w:r>
      <w:r w:rsidR="00D43920">
        <w:rPr>
          <w:lang w:bidi="ar-SA"/>
        </w:rPr>
        <w:t xml:space="preserve">and </w:t>
      </w:r>
      <w:r w:rsidR="009A6A02" w:rsidRPr="008240A8">
        <w:rPr>
          <w:lang w:bidi="ar-SA"/>
        </w:rPr>
        <w:t>formatting issues</w:t>
      </w:r>
      <w:r w:rsidR="002A6663">
        <w:rPr>
          <w:lang w:bidi="ar-SA"/>
        </w:rPr>
        <w:t>;</w:t>
      </w:r>
      <w:r w:rsidR="009A6A02">
        <w:rPr>
          <w:lang w:bidi="ar-SA"/>
        </w:rPr>
        <w:t xml:space="preserve"> </w:t>
      </w:r>
    </w:p>
    <w:p w14:paraId="0B0EE705" w14:textId="77777777" w:rsidR="002A6663" w:rsidRDefault="00CA37A4">
      <w:pPr>
        <w:pStyle w:val="ListParagraph"/>
        <w:numPr>
          <w:ilvl w:val="0"/>
          <w:numId w:val="20"/>
        </w:numPr>
      </w:pPr>
      <w:r>
        <w:rPr>
          <w:lang w:bidi="ar-SA"/>
        </w:rPr>
        <w:t>update</w:t>
      </w:r>
      <w:r w:rsidR="009A6A02">
        <w:rPr>
          <w:lang w:bidi="ar-SA"/>
        </w:rPr>
        <w:t xml:space="preserve"> references</w:t>
      </w:r>
      <w:r w:rsidR="00091F66">
        <w:rPr>
          <w:lang w:bidi="ar-SA"/>
        </w:rPr>
        <w:t xml:space="preserve">; and </w:t>
      </w:r>
    </w:p>
    <w:p w14:paraId="572CB0B5" w14:textId="3F9F83BF" w:rsidR="009A6A02" w:rsidRDefault="00F13140" w:rsidP="00A9774B">
      <w:pPr>
        <w:pStyle w:val="ListParagraph"/>
        <w:numPr>
          <w:ilvl w:val="0"/>
          <w:numId w:val="20"/>
        </w:numPr>
      </w:pPr>
      <w:r>
        <w:rPr>
          <w:lang w:bidi="ar-SA"/>
        </w:rPr>
        <w:t xml:space="preserve">change </w:t>
      </w:r>
      <w:bookmarkStart w:id="10" w:name="_Hlk124952894"/>
      <w:r>
        <w:rPr>
          <w:lang w:bidi="ar-SA"/>
        </w:rPr>
        <w:t xml:space="preserve">editorial </w:t>
      </w:r>
      <w:r w:rsidR="008F4632">
        <w:rPr>
          <w:lang w:bidi="ar-SA"/>
        </w:rPr>
        <w:t xml:space="preserve">Notes </w:t>
      </w:r>
      <w:bookmarkEnd w:id="10"/>
      <w:r w:rsidR="00091F66" w:rsidDel="00771D7F">
        <w:rPr>
          <w:lang w:bidi="ar-SA"/>
        </w:rPr>
        <w:t xml:space="preserve">to </w:t>
      </w:r>
      <w:r w:rsidR="00091F66" w:rsidRPr="00D43920">
        <w:rPr>
          <w:lang w:bidi="ar-SA"/>
        </w:rPr>
        <w:t>reflect the N</w:t>
      </w:r>
      <w:r w:rsidR="00091F66">
        <w:rPr>
          <w:lang w:bidi="ar-SA"/>
        </w:rPr>
        <w:t xml:space="preserve">ew </w:t>
      </w:r>
      <w:r w:rsidR="00091F66" w:rsidRPr="00D43920">
        <w:rPr>
          <w:lang w:bidi="ar-SA"/>
        </w:rPr>
        <w:t>Z</w:t>
      </w:r>
      <w:r w:rsidR="00091F66">
        <w:rPr>
          <w:lang w:bidi="ar-SA"/>
        </w:rPr>
        <w:t>ealand</w:t>
      </w:r>
      <w:r w:rsidR="00091F66" w:rsidRPr="00D43920">
        <w:rPr>
          <w:lang w:bidi="ar-SA"/>
        </w:rPr>
        <w:t xml:space="preserve"> </w:t>
      </w:r>
      <w:r w:rsidR="008E4242">
        <w:rPr>
          <w:lang w:bidi="ar-SA"/>
        </w:rPr>
        <w:t xml:space="preserve">Government’s </w:t>
      </w:r>
      <w:r w:rsidR="00091F66" w:rsidRPr="00D43920">
        <w:rPr>
          <w:lang w:bidi="ar-SA"/>
        </w:rPr>
        <w:t xml:space="preserve">decision </w:t>
      </w:r>
      <w:r w:rsidR="00051F98">
        <w:rPr>
          <w:lang w:bidi="ar-SA"/>
        </w:rPr>
        <w:t xml:space="preserve">to </w:t>
      </w:r>
      <w:r w:rsidR="00C00F76" w:rsidRPr="00AD6719">
        <w:rPr>
          <w:rFonts w:cs="Arial"/>
        </w:rPr>
        <w:t>require the</w:t>
      </w:r>
      <w:r w:rsidR="00051F98" w:rsidRPr="00AD6719">
        <w:rPr>
          <w:rFonts w:cs="Arial"/>
        </w:rPr>
        <w:t xml:space="preserve"> mandatory </w:t>
      </w:r>
      <w:r w:rsidR="00C00F76" w:rsidRPr="00AD6719">
        <w:rPr>
          <w:rFonts w:cs="Arial"/>
        </w:rPr>
        <w:t>addition</w:t>
      </w:r>
      <w:r w:rsidR="00051F98" w:rsidRPr="00AD6719">
        <w:rPr>
          <w:rFonts w:cs="Arial"/>
        </w:rPr>
        <w:t xml:space="preserve"> of folic acid </w:t>
      </w:r>
      <w:r w:rsidR="00C00F76" w:rsidRPr="00AD6719">
        <w:rPr>
          <w:rFonts w:cs="Arial"/>
        </w:rPr>
        <w:t>to all</w:t>
      </w:r>
      <w:r w:rsidR="00051F98" w:rsidRPr="00AD6719">
        <w:rPr>
          <w:rFonts w:cs="Arial"/>
        </w:rPr>
        <w:t xml:space="preserve"> wheat flour </w:t>
      </w:r>
      <w:r w:rsidR="00C00F76" w:rsidRPr="00AD6719">
        <w:rPr>
          <w:rFonts w:cs="Arial"/>
        </w:rPr>
        <w:t>that is</w:t>
      </w:r>
      <w:r w:rsidR="00F83F0E" w:rsidRPr="00AD6719">
        <w:rPr>
          <w:rFonts w:cs="Arial"/>
        </w:rPr>
        <w:t xml:space="preserve"> </w:t>
      </w:r>
      <w:r w:rsidR="00051F98" w:rsidRPr="00AD6719">
        <w:rPr>
          <w:rFonts w:cs="Arial"/>
        </w:rPr>
        <w:t xml:space="preserve">sold </w:t>
      </w:r>
      <w:r w:rsidR="00C00F76" w:rsidRPr="00AD6719">
        <w:rPr>
          <w:rFonts w:cs="Arial"/>
        </w:rPr>
        <w:t xml:space="preserve">as suitable for bread-making </w:t>
      </w:r>
      <w:r w:rsidR="008E4242" w:rsidRPr="00AD6719">
        <w:rPr>
          <w:rFonts w:cs="Arial"/>
        </w:rPr>
        <w:t xml:space="preserve">in New Zealand </w:t>
      </w:r>
      <w:r w:rsidR="00461132" w:rsidRPr="00AD6719">
        <w:rPr>
          <w:rFonts w:cs="Arial"/>
        </w:rPr>
        <w:t>in accordance with Standard 2.1.1 of the Code</w:t>
      </w:r>
      <w:r w:rsidR="003A79E5" w:rsidRPr="00AD6719">
        <w:rPr>
          <w:rFonts w:cs="Arial"/>
        </w:rPr>
        <w:t>.</w:t>
      </w:r>
    </w:p>
    <w:p w14:paraId="6883EA44" w14:textId="77777777" w:rsidR="009A6A02" w:rsidRDefault="009A6A02" w:rsidP="009A6A02"/>
    <w:p w14:paraId="27BF1CBA" w14:textId="4B6A277D" w:rsidR="009A6A02" w:rsidRDefault="009A6A02" w:rsidP="009A6A02">
      <w:r>
        <w:t>The proposed amendments</w:t>
      </w:r>
      <w:r w:rsidRPr="0069507C">
        <w:t xml:space="preserve"> </w:t>
      </w:r>
      <w:r>
        <w:t xml:space="preserve">in the draft variation are </w:t>
      </w:r>
      <w:r w:rsidR="00E216A2">
        <w:t xml:space="preserve">relatively </w:t>
      </w:r>
      <w:r w:rsidRPr="00FC64AE">
        <w:t>minor</w:t>
      </w:r>
      <w:r w:rsidR="00E216A2">
        <w:t xml:space="preserve"> in nature</w:t>
      </w:r>
      <w:r>
        <w:t xml:space="preserve">. </w:t>
      </w:r>
      <w:r w:rsidRPr="008F4BDF">
        <w:t>No potential public health and safety concerns have been identified.</w:t>
      </w:r>
    </w:p>
    <w:p w14:paraId="4B894F81" w14:textId="77777777" w:rsidR="0053464E" w:rsidRDefault="0053464E" w:rsidP="00A56E34">
      <w:r>
        <w:br w:type="page"/>
      </w:r>
    </w:p>
    <w:p w14:paraId="6DBBE303" w14:textId="14D2ED6A" w:rsidR="002A5F8B" w:rsidRPr="000B6AF2" w:rsidRDefault="002A5F8B" w:rsidP="0068153D">
      <w:pPr>
        <w:pStyle w:val="Heading1"/>
        <w:numPr>
          <w:ilvl w:val="0"/>
          <w:numId w:val="18"/>
        </w:numPr>
        <w:ind w:left="993" w:hanging="993"/>
      </w:pPr>
      <w:bookmarkStart w:id="11" w:name="_Toc300933417"/>
      <w:bookmarkStart w:id="12" w:name="_Toc125028800"/>
      <w:r w:rsidRPr="000B6AF2">
        <w:lastRenderedPageBreak/>
        <w:t>Introduction</w:t>
      </w:r>
      <w:bookmarkEnd w:id="9"/>
      <w:bookmarkEnd w:id="11"/>
      <w:bookmarkEnd w:id="12"/>
    </w:p>
    <w:p w14:paraId="6B69B459" w14:textId="6D4E60AE" w:rsidR="0053464E" w:rsidRDefault="00C23494" w:rsidP="00C23494">
      <w:pPr>
        <w:pStyle w:val="Heading2"/>
        <w:ind w:left="0" w:firstLine="0"/>
      </w:pPr>
      <w:bookmarkStart w:id="13" w:name="_Toc300761891"/>
      <w:bookmarkStart w:id="14" w:name="_Toc300933420"/>
      <w:bookmarkStart w:id="15" w:name="_Toc125028801"/>
      <w:r>
        <w:t xml:space="preserve">1.1 </w:t>
      </w:r>
      <w:r>
        <w:tab/>
      </w:r>
      <w:r w:rsidR="0053464E" w:rsidRPr="0053464E">
        <w:t xml:space="preserve">The </w:t>
      </w:r>
      <w:bookmarkEnd w:id="13"/>
      <w:r w:rsidR="00256D65" w:rsidRPr="00C23E8E">
        <w:t>Proposal</w:t>
      </w:r>
      <w:bookmarkEnd w:id="14"/>
      <w:bookmarkEnd w:id="15"/>
    </w:p>
    <w:p w14:paraId="79CB98D9" w14:textId="6425C81F" w:rsidR="004337A8" w:rsidRDefault="00EE7517" w:rsidP="00C23E8E">
      <w:pPr>
        <w:rPr>
          <w:lang w:bidi="ar-SA"/>
        </w:rPr>
      </w:pPr>
      <w:r>
        <w:rPr>
          <w:lang w:bidi="ar-SA"/>
        </w:rPr>
        <w:t xml:space="preserve">Proposal </w:t>
      </w:r>
      <w:r w:rsidRPr="00D84B6F">
        <w:rPr>
          <w:lang w:bidi="ar-SA"/>
        </w:rPr>
        <w:t>P10</w:t>
      </w:r>
      <w:r>
        <w:rPr>
          <w:lang w:bidi="ar-SA"/>
        </w:rPr>
        <w:t>61</w:t>
      </w:r>
      <w:r w:rsidRPr="00D84B6F">
        <w:rPr>
          <w:lang w:bidi="ar-SA"/>
        </w:rPr>
        <w:t xml:space="preserve"> was</w:t>
      </w:r>
      <w:r>
        <w:rPr>
          <w:lang w:bidi="ar-SA"/>
        </w:rPr>
        <w:t xml:space="preserve"> prepared </w:t>
      </w:r>
      <w:r w:rsidRPr="00B17F39">
        <w:rPr>
          <w:lang w:bidi="ar-SA"/>
        </w:rPr>
        <w:t xml:space="preserve">to make </w:t>
      </w:r>
      <w:r>
        <w:rPr>
          <w:lang w:bidi="ar-SA"/>
        </w:rPr>
        <w:t xml:space="preserve">a range of </w:t>
      </w:r>
      <w:r w:rsidR="004C01DB">
        <w:rPr>
          <w:lang w:bidi="ar-SA"/>
        </w:rPr>
        <w:t xml:space="preserve">relatively </w:t>
      </w:r>
      <w:r>
        <w:rPr>
          <w:lang w:bidi="ar-SA"/>
        </w:rPr>
        <w:t>minor</w:t>
      </w:r>
      <w:r w:rsidRPr="00B17F39">
        <w:rPr>
          <w:lang w:bidi="ar-SA"/>
        </w:rPr>
        <w:t xml:space="preserve"> amendments</w:t>
      </w:r>
      <w:r>
        <w:rPr>
          <w:lang w:bidi="ar-SA"/>
        </w:rPr>
        <w:t xml:space="preserve"> to the </w:t>
      </w:r>
      <w:r w:rsidRPr="00B17F39">
        <w:rPr>
          <w:i/>
          <w:lang w:bidi="ar-SA"/>
        </w:rPr>
        <w:t>Australia New Zealand Food Standards Code</w:t>
      </w:r>
      <w:r w:rsidRPr="00B17F39">
        <w:rPr>
          <w:lang w:bidi="ar-SA"/>
        </w:rPr>
        <w:t xml:space="preserve"> </w:t>
      </w:r>
      <w:r>
        <w:rPr>
          <w:lang w:bidi="ar-SA"/>
        </w:rPr>
        <w:t>(the Code)</w:t>
      </w:r>
      <w:r w:rsidRPr="008240A8">
        <w:rPr>
          <w:lang w:bidi="ar-SA"/>
        </w:rPr>
        <w:t xml:space="preserve"> </w:t>
      </w:r>
      <w:r w:rsidRPr="00B17F39">
        <w:rPr>
          <w:lang w:bidi="ar-SA"/>
        </w:rPr>
        <w:t xml:space="preserve">including </w:t>
      </w:r>
      <w:r w:rsidR="0037624A" w:rsidRPr="0037624A">
        <w:rPr>
          <w:lang w:bidi="ar-SA"/>
        </w:rPr>
        <w:t>the correction of typographical errors, omissions, inconsistencies and formatting issues; updating references</w:t>
      </w:r>
      <w:r w:rsidR="00EB526C">
        <w:rPr>
          <w:lang w:bidi="ar-SA"/>
        </w:rPr>
        <w:t xml:space="preserve">; and </w:t>
      </w:r>
      <w:r w:rsidR="00F13140">
        <w:rPr>
          <w:lang w:bidi="ar-SA"/>
        </w:rPr>
        <w:t xml:space="preserve">changing editorial </w:t>
      </w:r>
      <w:r w:rsidR="00B008E3">
        <w:rPr>
          <w:lang w:bidi="ar-SA"/>
        </w:rPr>
        <w:t xml:space="preserve">Notes </w:t>
      </w:r>
      <w:r w:rsidR="00EB526C">
        <w:rPr>
          <w:lang w:bidi="ar-SA"/>
        </w:rPr>
        <w:t xml:space="preserve">to </w:t>
      </w:r>
      <w:r w:rsidR="00EB526C" w:rsidRPr="00F13140">
        <w:rPr>
          <w:lang w:bidi="ar-SA"/>
        </w:rPr>
        <w:t xml:space="preserve">reflect </w:t>
      </w:r>
      <w:r w:rsidR="00EB0E95" w:rsidRPr="00F13140">
        <w:rPr>
          <w:lang w:bidi="ar-SA"/>
        </w:rPr>
        <w:t>the</w:t>
      </w:r>
      <w:r w:rsidR="00EB526C" w:rsidRPr="00F13140">
        <w:rPr>
          <w:lang w:bidi="ar-SA"/>
        </w:rPr>
        <w:t xml:space="preserve"> </w:t>
      </w:r>
      <w:r w:rsidR="00B2343E" w:rsidRPr="00F13140">
        <w:rPr>
          <w:lang w:bidi="ar-SA"/>
        </w:rPr>
        <w:t xml:space="preserve">New Zealand Government’s decision </w:t>
      </w:r>
      <w:r w:rsidR="00560943" w:rsidRPr="00F13140">
        <w:rPr>
          <w:lang w:bidi="ar-SA"/>
        </w:rPr>
        <w:t xml:space="preserve">to </w:t>
      </w:r>
      <w:r w:rsidR="00B2343E" w:rsidRPr="00F13140">
        <w:rPr>
          <w:lang w:bidi="ar-SA"/>
        </w:rPr>
        <w:t xml:space="preserve">require the </w:t>
      </w:r>
      <w:r w:rsidR="00EB526C" w:rsidRPr="0037624A">
        <w:rPr>
          <w:lang w:bidi="ar-SA"/>
        </w:rPr>
        <w:t>mandatory</w:t>
      </w:r>
      <w:r w:rsidR="00D346F1">
        <w:rPr>
          <w:lang w:bidi="ar-SA"/>
        </w:rPr>
        <w:t xml:space="preserve"> </w:t>
      </w:r>
      <w:r w:rsidR="00B2343E" w:rsidRPr="00F13140">
        <w:rPr>
          <w:lang w:bidi="ar-SA"/>
        </w:rPr>
        <w:t xml:space="preserve">addition of </w:t>
      </w:r>
      <w:r w:rsidR="00D346F1">
        <w:rPr>
          <w:lang w:bidi="ar-SA"/>
        </w:rPr>
        <w:t>folic acid</w:t>
      </w:r>
      <w:r w:rsidR="00EB526C" w:rsidRPr="0037624A">
        <w:rPr>
          <w:lang w:bidi="ar-SA"/>
        </w:rPr>
        <w:t xml:space="preserve"> </w:t>
      </w:r>
      <w:r w:rsidR="00B2343E" w:rsidRPr="00F13140">
        <w:rPr>
          <w:lang w:bidi="ar-SA"/>
        </w:rPr>
        <w:t>to</w:t>
      </w:r>
      <w:r w:rsidR="004C6E51">
        <w:rPr>
          <w:lang w:bidi="ar-SA"/>
        </w:rPr>
        <w:t xml:space="preserve"> all wheat flour </w:t>
      </w:r>
      <w:r w:rsidR="00B2343E" w:rsidRPr="00F13140">
        <w:rPr>
          <w:lang w:bidi="ar-SA"/>
        </w:rPr>
        <w:t xml:space="preserve">that is sold as </w:t>
      </w:r>
      <w:r w:rsidR="004C6E51">
        <w:rPr>
          <w:lang w:bidi="ar-SA"/>
        </w:rPr>
        <w:t>suitable for bread</w:t>
      </w:r>
      <w:r w:rsidR="00B2343E" w:rsidRPr="00F13140">
        <w:rPr>
          <w:lang w:bidi="ar-SA"/>
        </w:rPr>
        <w:t>-</w:t>
      </w:r>
      <w:r w:rsidR="004C6E51">
        <w:rPr>
          <w:lang w:bidi="ar-SA"/>
        </w:rPr>
        <w:t>making</w:t>
      </w:r>
      <w:r w:rsidR="00B2343E" w:rsidRPr="00F13140">
        <w:rPr>
          <w:lang w:bidi="ar-SA"/>
        </w:rPr>
        <w:t xml:space="preserve"> in New Zealand</w:t>
      </w:r>
      <w:r w:rsidR="007F2255" w:rsidRPr="00F13140">
        <w:rPr>
          <w:lang w:bidi="ar-SA"/>
        </w:rPr>
        <w:t xml:space="preserve"> </w:t>
      </w:r>
      <w:r w:rsidR="004C6E51">
        <w:rPr>
          <w:lang w:bidi="ar-SA"/>
        </w:rPr>
        <w:t xml:space="preserve">in </w:t>
      </w:r>
      <w:r w:rsidR="007F2255" w:rsidRPr="00F13140">
        <w:rPr>
          <w:lang w:bidi="ar-SA"/>
        </w:rPr>
        <w:t>accordance</w:t>
      </w:r>
      <w:r w:rsidR="004C6E51">
        <w:rPr>
          <w:lang w:bidi="ar-SA"/>
        </w:rPr>
        <w:t xml:space="preserve"> with </w:t>
      </w:r>
      <w:r w:rsidR="007F2255" w:rsidRPr="00F13140">
        <w:rPr>
          <w:lang w:bidi="ar-SA"/>
        </w:rPr>
        <w:t>Standard 2.1.1</w:t>
      </w:r>
      <w:r w:rsidR="005350DF" w:rsidRPr="00F13140">
        <w:rPr>
          <w:lang w:bidi="ar-SA"/>
        </w:rPr>
        <w:t xml:space="preserve"> of the Code</w:t>
      </w:r>
      <w:r w:rsidR="00B2343E" w:rsidRPr="00F13140">
        <w:rPr>
          <w:lang w:bidi="ar-SA"/>
        </w:rPr>
        <w:t xml:space="preserve"> from 13 August 2023</w:t>
      </w:r>
      <w:r w:rsidRPr="00F13140">
        <w:rPr>
          <w:lang w:bidi="ar-SA"/>
        </w:rPr>
        <w:t>.</w:t>
      </w:r>
      <w:r w:rsidR="004C6E51">
        <w:rPr>
          <w:lang w:bidi="ar-SA"/>
        </w:rPr>
        <w:t xml:space="preserve"> </w:t>
      </w:r>
      <w:r w:rsidR="004337A8">
        <w:rPr>
          <w:lang w:bidi="ar-SA"/>
        </w:rPr>
        <w:t xml:space="preserve"> </w:t>
      </w:r>
    </w:p>
    <w:p w14:paraId="074AB7AD" w14:textId="60B8626A" w:rsidR="0053464E" w:rsidRPr="0053464E" w:rsidRDefault="00F33BB8" w:rsidP="00A56E34">
      <w:pPr>
        <w:pStyle w:val="Heading2"/>
      </w:pPr>
      <w:bookmarkStart w:id="16" w:name="_Toc300761892"/>
      <w:bookmarkStart w:id="17" w:name="_Toc300933421"/>
      <w:bookmarkStart w:id="18" w:name="_Toc125028802"/>
      <w:r>
        <w:t>1</w:t>
      </w:r>
      <w:r w:rsidR="00A56E34">
        <w:t>.</w:t>
      </w:r>
      <w:r w:rsidR="00C65400">
        <w:t>2</w:t>
      </w:r>
      <w:r w:rsidR="00A56E34">
        <w:tab/>
        <w:t>The c</w:t>
      </w:r>
      <w:r w:rsidR="0053464E" w:rsidRPr="0053464E">
        <w:t xml:space="preserve">urrent </w:t>
      </w:r>
      <w:r w:rsidR="00E72650">
        <w:t>s</w:t>
      </w:r>
      <w:r w:rsidR="0053464E" w:rsidRPr="0053464E">
        <w:t>tandard</w:t>
      </w:r>
      <w:bookmarkEnd w:id="16"/>
      <w:bookmarkEnd w:id="17"/>
      <w:bookmarkEnd w:id="18"/>
    </w:p>
    <w:p w14:paraId="6F773CA8" w14:textId="6660FD89" w:rsidR="00640E1E" w:rsidRPr="000F6D44" w:rsidRDefault="00640E1E" w:rsidP="00640E1E">
      <w:bookmarkStart w:id="19" w:name="_Toc286391007"/>
      <w:bookmarkStart w:id="20" w:name="_Toc300933423"/>
      <w:bookmarkStart w:id="21" w:name="_Toc175381432"/>
      <w:r w:rsidRPr="000F6D44">
        <w:t xml:space="preserve">Standards </w:t>
      </w:r>
      <w:r w:rsidRPr="00214EAD">
        <w:t xml:space="preserve">1.1.1, </w:t>
      </w:r>
      <w:r w:rsidR="00825123">
        <w:t xml:space="preserve">1.1.2, </w:t>
      </w:r>
      <w:r w:rsidR="00526281">
        <w:t xml:space="preserve">1.3.3, </w:t>
      </w:r>
      <w:r w:rsidR="006E314F">
        <w:t>2.1.1</w:t>
      </w:r>
      <w:r w:rsidR="00C57C84">
        <w:t>,</w:t>
      </w:r>
      <w:r w:rsidR="006E314F">
        <w:t xml:space="preserve"> </w:t>
      </w:r>
      <w:r w:rsidR="00526281">
        <w:t>2.2.</w:t>
      </w:r>
      <w:r w:rsidR="00D158A1">
        <w:t>3</w:t>
      </w:r>
      <w:r w:rsidR="00526281">
        <w:t xml:space="preserve">, </w:t>
      </w:r>
      <w:r w:rsidR="006E314F">
        <w:t>2.9.1</w:t>
      </w:r>
      <w:r w:rsidR="001B3CA8">
        <w:t>,</w:t>
      </w:r>
      <w:r w:rsidR="00C57C84">
        <w:t xml:space="preserve"> 3.2.1</w:t>
      </w:r>
      <w:r w:rsidR="009659FD">
        <w:t xml:space="preserve">, 3.2.2, 4.1.1, </w:t>
      </w:r>
      <w:r w:rsidR="0076686F">
        <w:t xml:space="preserve">4.2.1, 4.2.2, 4.2.3, </w:t>
      </w:r>
      <w:r w:rsidR="001B3CA8">
        <w:t xml:space="preserve">and </w:t>
      </w:r>
      <w:r w:rsidR="0076686F">
        <w:t>4.2.8</w:t>
      </w:r>
      <w:r w:rsidR="006E314F">
        <w:t>;</w:t>
      </w:r>
      <w:r>
        <w:t xml:space="preserve"> and </w:t>
      </w:r>
      <w:r w:rsidRPr="00214EAD">
        <w:t>Schedules 3</w:t>
      </w:r>
      <w:r w:rsidR="00AF4824">
        <w:t xml:space="preserve">, </w:t>
      </w:r>
      <w:r w:rsidR="00C57C84">
        <w:t xml:space="preserve">14, </w:t>
      </w:r>
      <w:r w:rsidR="00AF4824">
        <w:t>18</w:t>
      </w:r>
      <w:r w:rsidR="00DA4B59">
        <w:t>,</w:t>
      </w:r>
      <w:r>
        <w:t xml:space="preserve"> 20</w:t>
      </w:r>
      <w:r w:rsidR="00DA4B59" w:rsidRPr="00DA4B59">
        <w:t xml:space="preserve"> </w:t>
      </w:r>
      <w:r w:rsidR="00DA4B59">
        <w:t>and 25</w:t>
      </w:r>
      <w:r w:rsidR="00535862">
        <w:t>,</w:t>
      </w:r>
      <w:r>
        <w:t xml:space="preserve"> of the Code </w:t>
      </w:r>
      <w:r w:rsidR="000A2173">
        <w:t>would be</w:t>
      </w:r>
      <w:r w:rsidRPr="000F6D44">
        <w:t xml:space="preserve"> affected by the proposed amendments.</w:t>
      </w:r>
    </w:p>
    <w:p w14:paraId="212FDF1C" w14:textId="674C691B" w:rsidR="00AF387F" w:rsidRPr="000B6AF2" w:rsidRDefault="00F33BB8" w:rsidP="00D062E4">
      <w:pPr>
        <w:pStyle w:val="Heading2"/>
        <w:rPr>
          <w:u w:color="FFFF00"/>
        </w:rPr>
      </w:pPr>
      <w:bookmarkStart w:id="22" w:name="_Toc125028803"/>
      <w:r>
        <w:rPr>
          <w:u w:color="FFFF00"/>
        </w:rPr>
        <w:t>1</w:t>
      </w:r>
      <w:r w:rsidR="00606C88">
        <w:rPr>
          <w:u w:color="FFFF00"/>
        </w:rPr>
        <w:t>.</w:t>
      </w:r>
      <w:r w:rsidR="00C65400">
        <w:rPr>
          <w:u w:color="FFFF00"/>
        </w:rPr>
        <w:t>3</w:t>
      </w:r>
      <w:r w:rsidR="001542D8">
        <w:rPr>
          <w:u w:color="FFFF00"/>
        </w:rPr>
        <w:tab/>
      </w:r>
      <w:r w:rsidR="00741EFE">
        <w:rPr>
          <w:u w:color="FFFF00"/>
        </w:rPr>
        <w:t xml:space="preserve">Reasons for </w:t>
      </w:r>
      <w:bookmarkEnd w:id="19"/>
      <w:bookmarkEnd w:id="20"/>
      <w:r w:rsidR="00DE79D9" w:rsidRPr="00C26D7E">
        <w:t>preparing the Proposal</w:t>
      </w:r>
      <w:bookmarkEnd w:id="22"/>
    </w:p>
    <w:p w14:paraId="52CBBBCD" w14:textId="7B89C79D" w:rsidR="00AC3807" w:rsidRPr="0012269D" w:rsidRDefault="00F41FD6" w:rsidP="001E1874">
      <w:bookmarkStart w:id="23" w:name="_Toc286391008"/>
      <w:bookmarkStart w:id="24" w:name="_Toc11735630"/>
      <w:bookmarkStart w:id="25" w:name="_Toc29883114"/>
      <w:bookmarkStart w:id="26" w:name="_Toc41906801"/>
      <w:bookmarkStart w:id="27" w:name="_Toc41907548"/>
      <w:bookmarkStart w:id="28" w:name="_Toc120358578"/>
      <w:bookmarkStart w:id="29" w:name="_Toc175381435"/>
      <w:bookmarkEnd w:id="4"/>
      <w:bookmarkEnd w:id="5"/>
      <w:bookmarkEnd w:id="6"/>
      <w:bookmarkEnd w:id="7"/>
      <w:bookmarkEnd w:id="8"/>
      <w:bookmarkEnd w:id="21"/>
      <w:r>
        <w:t>Relatively m</w:t>
      </w:r>
      <w:r w:rsidR="001E1874">
        <w:t xml:space="preserve">inor errors and issues are identified in the Code from time-to-time. </w:t>
      </w:r>
      <w:r w:rsidR="001E1874" w:rsidRPr="0012269D">
        <w:t>Th</w:t>
      </w:r>
      <w:r w:rsidR="001E1874">
        <w:t>is</w:t>
      </w:r>
      <w:r w:rsidR="001E1874" w:rsidRPr="0012269D">
        <w:t xml:space="preserve"> Proposal was </w:t>
      </w:r>
      <w:r w:rsidR="001E1874">
        <w:t>prepared to resolve them.</w:t>
      </w:r>
    </w:p>
    <w:p w14:paraId="565DEACB" w14:textId="510BEE79" w:rsidR="00DE79D9" w:rsidRDefault="00D3171B" w:rsidP="00DE79D9">
      <w:pPr>
        <w:pStyle w:val="Heading2"/>
      </w:pPr>
      <w:bookmarkStart w:id="30" w:name="_Toc125028804"/>
      <w:r>
        <w:t>1</w:t>
      </w:r>
      <w:r w:rsidR="00606C88">
        <w:t>.</w:t>
      </w:r>
      <w:r w:rsidR="00C65400">
        <w:t>4</w:t>
      </w:r>
      <w:r w:rsidR="00DE79D9">
        <w:tab/>
        <w:t>Procedure for assessment</w:t>
      </w:r>
      <w:bookmarkEnd w:id="30"/>
    </w:p>
    <w:p w14:paraId="6C0563AE" w14:textId="20FBEB92" w:rsidR="00DE79D9" w:rsidRDefault="00DE79D9" w:rsidP="00DE79D9">
      <w:r w:rsidRPr="00932F14">
        <w:t xml:space="preserve">The </w:t>
      </w:r>
      <w:r w:rsidRPr="001E1874">
        <w:t>Proposal is being assessed under the General Procedure</w:t>
      </w:r>
      <w:r w:rsidRPr="00932F14">
        <w:t>.</w:t>
      </w:r>
    </w:p>
    <w:p w14:paraId="25CE06AB" w14:textId="77777777" w:rsidR="00DE79D9" w:rsidRPr="00D062E4" w:rsidRDefault="00DE79D9" w:rsidP="00180C41"/>
    <w:p w14:paraId="6BE29CB8" w14:textId="77777777" w:rsidR="00AF387F" w:rsidRPr="00180C41" w:rsidRDefault="00D3171B" w:rsidP="00180C41">
      <w:pPr>
        <w:pStyle w:val="Heading1"/>
      </w:pPr>
      <w:bookmarkStart w:id="31" w:name="_Toc300933424"/>
      <w:bookmarkStart w:id="32" w:name="_Toc125028805"/>
      <w:r>
        <w:t>2</w:t>
      </w:r>
      <w:r w:rsidR="001542D8">
        <w:tab/>
      </w:r>
      <w:r w:rsidR="00350DBD">
        <w:t>S</w:t>
      </w:r>
      <w:r w:rsidR="00FB1533">
        <w:t>ummary of the a</w:t>
      </w:r>
      <w:r w:rsidR="00FD2FBE">
        <w:t>ssessment</w:t>
      </w:r>
      <w:bookmarkEnd w:id="23"/>
      <w:bookmarkEnd w:id="31"/>
      <w:bookmarkEnd w:id="32"/>
    </w:p>
    <w:p w14:paraId="05FC9B04" w14:textId="10D0FBA6" w:rsidR="004F69F6" w:rsidRPr="00932F14" w:rsidRDefault="00D3171B" w:rsidP="004646F8">
      <w:pPr>
        <w:pStyle w:val="Heading2"/>
      </w:pPr>
      <w:bookmarkStart w:id="33" w:name="_Toc286391009"/>
      <w:bookmarkStart w:id="34" w:name="_Toc300933425"/>
      <w:bookmarkStart w:id="35" w:name="_Toc125028806"/>
      <w:bookmarkStart w:id="36" w:name="_Toc120358583"/>
      <w:bookmarkStart w:id="37" w:name="_Toc175381440"/>
      <w:r>
        <w:t>2</w:t>
      </w:r>
      <w:r w:rsidR="00271F00">
        <w:t>.</w:t>
      </w:r>
      <w:r w:rsidR="00C65400">
        <w:t>1</w:t>
      </w:r>
      <w:r w:rsidR="00271F00">
        <w:tab/>
      </w:r>
      <w:r w:rsidR="004F69F6" w:rsidRPr="00932F14">
        <w:t xml:space="preserve">Risk </w:t>
      </w:r>
      <w:r w:rsidR="00741EFE">
        <w:t>a</w:t>
      </w:r>
      <w:r w:rsidR="004F69F6" w:rsidRPr="00932F14">
        <w:t>ssessment</w:t>
      </w:r>
      <w:bookmarkEnd w:id="33"/>
      <w:bookmarkEnd w:id="34"/>
      <w:bookmarkEnd w:id="35"/>
      <w:r w:rsidR="004F69F6" w:rsidRPr="00932F14">
        <w:t xml:space="preserve"> </w:t>
      </w:r>
      <w:bookmarkEnd w:id="36"/>
      <w:bookmarkEnd w:id="37"/>
    </w:p>
    <w:p w14:paraId="2F3D47E3" w14:textId="55BA4276" w:rsidR="002277EE" w:rsidRDefault="002277EE" w:rsidP="002277EE">
      <w:r w:rsidRPr="00691F85">
        <w:t xml:space="preserve">No public health and safety concerns have been identified. As explained below, all of the issues considered are </w:t>
      </w:r>
      <w:r w:rsidR="007E1899">
        <w:t xml:space="preserve">relatively </w:t>
      </w:r>
      <w:r w:rsidRPr="00691F85">
        <w:t>minor in nature.</w:t>
      </w:r>
      <w:r>
        <w:t xml:space="preserve"> </w:t>
      </w:r>
    </w:p>
    <w:p w14:paraId="5CFB9E4A" w14:textId="77777777" w:rsidR="002277EE" w:rsidRDefault="002277EE" w:rsidP="002277EE"/>
    <w:p w14:paraId="46D38BD2" w14:textId="3BF45A05" w:rsidR="00180C41" w:rsidRPr="00D3171B" w:rsidRDefault="002277EE" w:rsidP="002277EE">
      <w:pPr>
        <w:rPr>
          <w:color w:val="00B050"/>
        </w:rPr>
      </w:pPr>
      <w:r>
        <w:t>The reasons for the proposed variations are outlined in the supporting document to this report (SD1).</w:t>
      </w:r>
    </w:p>
    <w:p w14:paraId="3CA7C6F0" w14:textId="5BE6C32B" w:rsidR="004F69F6" w:rsidRPr="00932F14" w:rsidRDefault="00D3171B" w:rsidP="004646F8">
      <w:pPr>
        <w:pStyle w:val="Heading2"/>
      </w:pPr>
      <w:bookmarkStart w:id="38" w:name="_Toc175381442"/>
      <w:bookmarkStart w:id="39" w:name="_Toc286391010"/>
      <w:bookmarkStart w:id="40" w:name="_Toc300933426"/>
      <w:bookmarkStart w:id="41" w:name="_Toc125028807"/>
      <w:r>
        <w:t>2</w:t>
      </w:r>
      <w:r w:rsidR="0045556F">
        <w:t>.</w:t>
      </w:r>
      <w:r w:rsidR="002277EE">
        <w:t>2</w:t>
      </w:r>
      <w:r w:rsidR="00271F00">
        <w:tab/>
      </w:r>
      <w:bookmarkEnd w:id="38"/>
      <w:bookmarkEnd w:id="39"/>
      <w:bookmarkEnd w:id="40"/>
      <w:r w:rsidR="0045556F">
        <w:t>R</w:t>
      </w:r>
      <w:r w:rsidR="00707E72">
        <w:t>isk m</w:t>
      </w:r>
      <w:r w:rsidR="008A35FB">
        <w:t>anagement</w:t>
      </w:r>
      <w:bookmarkEnd w:id="41"/>
    </w:p>
    <w:p w14:paraId="7233DBA7" w14:textId="681574D5" w:rsidR="00D3171B" w:rsidRDefault="008F004A" w:rsidP="00DD3C5E">
      <w:bookmarkStart w:id="42" w:name="_Toc300761910"/>
      <w:r w:rsidRPr="00423539">
        <w:rPr>
          <w:rFonts w:cs="Arial"/>
        </w:rPr>
        <w:t>The proposed amendments</w:t>
      </w:r>
      <w:r>
        <w:rPr>
          <w:rFonts w:cs="Arial"/>
        </w:rPr>
        <w:t xml:space="preserve"> wil</w:t>
      </w:r>
      <w:r w:rsidRPr="00423539">
        <w:rPr>
          <w:szCs w:val="22"/>
        </w:rPr>
        <w:t>l ensure that the Code remains current</w:t>
      </w:r>
      <w:r w:rsidR="00382C88">
        <w:rPr>
          <w:szCs w:val="22"/>
        </w:rPr>
        <w:t>;</w:t>
      </w:r>
      <w:r w:rsidRPr="00423539">
        <w:rPr>
          <w:szCs w:val="22"/>
        </w:rPr>
        <w:t xml:space="preserve"> and that </w:t>
      </w:r>
      <w:r w:rsidR="00A34238">
        <w:rPr>
          <w:szCs w:val="22"/>
        </w:rPr>
        <w:t xml:space="preserve">typographical </w:t>
      </w:r>
      <w:r w:rsidRPr="00423539">
        <w:rPr>
          <w:szCs w:val="22"/>
        </w:rPr>
        <w:t>errors</w:t>
      </w:r>
      <w:r w:rsidR="008033CA">
        <w:rPr>
          <w:szCs w:val="22"/>
        </w:rPr>
        <w:t>, omissions</w:t>
      </w:r>
      <w:r w:rsidRPr="00423539">
        <w:rPr>
          <w:szCs w:val="22"/>
        </w:rPr>
        <w:t xml:space="preserve"> and inconsistencies are addressed</w:t>
      </w:r>
      <w:r>
        <w:rPr>
          <w:szCs w:val="22"/>
        </w:rPr>
        <w:t xml:space="preserve">.  As mentioned above, the proposed </w:t>
      </w:r>
      <w:r w:rsidRPr="00691F85">
        <w:rPr>
          <w:szCs w:val="22"/>
        </w:rPr>
        <w:t xml:space="preserve">amendments are </w:t>
      </w:r>
      <w:r w:rsidR="007E1899">
        <w:rPr>
          <w:szCs w:val="22"/>
        </w:rPr>
        <w:t xml:space="preserve">relatively </w:t>
      </w:r>
      <w:r w:rsidRPr="00691F85">
        <w:rPr>
          <w:szCs w:val="22"/>
        </w:rPr>
        <w:t>minor in nature and</w:t>
      </w:r>
      <w:r>
        <w:rPr>
          <w:szCs w:val="22"/>
        </w:rPr>
        <w:t xml:space="preserve"> </w:t>
      </w:r>
      <w:r>
        <w:t>n</w:t>
      </w:r>
      <w:r w:rsidRPr="008F4BDF">
        <w:t>o potential public health and safety concerns have been identified</w:t>
      </w:r>
      <w:r>
        <w:t>.</w:t>
      </w:r>
    </w:p>
    <w:p w14:paraId="13C647E2" w14:textId="77777777" w:rsidR="00C8284F" w:rsidRDefault="00C8284F" w:rsidP="00DD3C5E"/>
    <w:p w14:paraId="5D666782" w14:textId="36058B9C" w:rsidR="00C8284F" w:rsidRDefault="00C8284F" w:rsidP="00DD3C5E">
      <w:r>
        <w:rPr>
          <w:lang w:bidi="ar-SA"/>
        </w:rPr>
        <w:t xml:space="preserve">As explained above, the New Zealand Government has </w:t>
      </w:r>
      <w:r w:rsidR="00C23494">
        <w:rPr>
          <w:lang w:bidi="ar-SA"/>
        </w:rPr>
        <w:t xml:space="preserve">taken action under New Zealand food laws to require </w:t>
      </w:r>
      <w:r>
        <w:rPr>
          <w:lang w:bidi="ar-SA"/>
        </w:rPr>
        <w:t>that</w:t>
      </w:r>
      <w:r w:rsidR="00C23494">
        <w:rPr>
          <w:lang w:bidi="ar-SA"/>
        </w:rPr>
        <w:t>,</w:t>
      </w:r>
      <w:r>
        <w:rPr>
          <w:lang w:bidi="ar-SA"/>
        </w:rPr>
        <w:t xml:space="preserve"> from </w:t>
      </w:r>
      <w:r w:rsidR="00A5187E" w:rsidRPr="00F13140">
        <w:rPr>
          <w:lang w:bidi="ar-SA"/>
        </w:rPr>
        <w:t xml:space="preserve">13 August </w:t>
      </w:r>
      <w:r>
        <w:rPr>
          <w:lang w:bidi="ar-SA"/>
        </w:rPr>
        <w:t>2023</w:t>
      </w:r>
      <w:r w:rsidR="00590A43" w:rsidRPr="00F13140">
        <w:rPr>
          <w:lang w:bidi="ar-SA"/>
        </w:rPr>
        <w:t>,</w:t>
      </w:r>
      <w:r>
        <w:rPr>
          <w:lang w:bidi="ar-SA"/>
        </w:rPr>
        <w:t xml:space="preserve"> all wheat flour </w:t>
      </w:r>
      <w:r w:rsidR="00A5187E" w:rsidRPr="00F13140">
        <w:rPr>
          <w:lang w:bidi="ar-SA"/>
        </w:rPr>
        <w:t xml:space="preserve">sold as </w:t>
      </w:r>
      <w:r>
        <w:rPr>
          <w:lang w:bidi="ar-SA"/>
        </w:rPr>
        <w:t>suitable for bread making</w:t>
      </w:r>
      <w:r w:rsidRPr="00F13140">
        <w:rPr>
          <w:lang w:bidi="ar-SA"/>
        </w:rPr>
        <w:t xml:space="preserve"> in New Zealand</w:t>
      </w:r>
      <w:r w:rsidR="005863A4" w:rsidRPr="00F13140">
        <w:rPr>
          <w:lang w:bidi="ar-SA"/>
        </w:rPr>
        <w:t xml:space="preserve"> </w:t>
      </w:r>
      <w:r w:rsidR="00F701CC" w:rsidRPr="00F13140">
        <w:rPr>
          <w:lang w:bidi="ar-SA"/>
        </w:rPr>
        <w:t>contain</w:t>
      </w:r>
      <w:r>
        <w:rPr>
          <w:lang w:bidi="ar-SA"/>
        </w:rPr>
        <w:t xml:space="preserve"> folic acid</w:t>
      </w:r>
      <w:r w:rsidR="005863A4">
        <w:rPr>
          <w:lang w:bidi="ar-SA"/>
        </w:rPr>
        <w:t xml:space="preserve"> in accordance with </w:t>
      </w:r>
      <w:r w:rsidR="005863A4" w:rsidRPr="004337A8">
        <w:rPr>
          <w:rFonts w:cs="Arial"/>
        </w:rPr>
        <w:t>section 2.1.1—5 of the Code</w:t>
      </w:r>
      <w:r w:rsidR="005863A4">
        <w:rPr>
          <w:rFonts w:cs="Arial"/>
          <w:szCs w:val="22"/>
          <w:lang w:val="en-NZ"/>
        </w:rPr>
        <w:t xml:space="preserve">. </w:t>
      </w:r>
      <w:r w:rsidRPr="00F13140">
        <w:rPr>
          <w:rFonts w:cs="Arial"/>
          <w:szCs w:val="22"/>
          <w:lang w:val="en-NZ"/>
        </w:rPr>
        <w:t>This will</w:t>
      </w:r>
      <w:r w:rsidRPr="00F13140">
        <w:rPr>
          <w:rFonts w:cs="Arial"/>
        </w:rPr>
        <w:t xml:space="preserve"> require amendment of Note 1 to section 1.1.1—3 of the Code and removal of the Note to section 2.1.1—5 of the Code</w:t>
      </w:r>
      <w:r w:rsidR="005863A4" w:rsidRPr="00F13140">
        <w:rPr>
          <w:rFonts w:cs="Arial"/>
        </w:rPr>
        <w:t xml:space="preserve"> to reflect that decision</w:t>
      </w:r>
      <w:r w:rsidRPr="00F13140">
        <w:rPr>
          <w:rFonts w:cs="Arial"/>
        </w:rPr>
        <w:t>.</w:t>
      </w:r>
      <w:r w:rsidRPr="00B31EFC">
        <w:rPr>
          <w:rFonts w:cs="Arial"/>
        </w:rPr>
        <w:t xml:space="preserve"> </w:t>
      </w:r>
      <w:r w:rsidR="005863A4" w:rsidRPr="00B31EFC">
        <w:rPr>
          <w:rFonts w:cs="Arial"/>
        </w:rPr>
        <w:t>The</w:t>
      </w:r>
      <w:r w:rsidRPr="00B31EFC">
        <w:rPr>
          <w:rFonts w:cs="Arial"/>
        </w:rPr>
        <w:t xml:space="preserve"> Notes </w:t>
      </w:r>
      <w:r w:rsidR="005863A4" w:rsidRPr="00B31EFC">
        <w:rPr>
          <w:rFonts w:cs="Arial"/>
        </w:rPr>
        <w:t xml:space="preserve">currently </w:t>
      </w:r>
      <w:r w:rsidRPr="00B31EFC">
        <w:rPr>
          <w:rFonts w:cs="Arial"/>
        </w:rPr>
        <w:t xml:space="preserve">explain that </w:t>
      </w:r>
      <w:r w:rsidRPr="00B31EFC">
        <w:rPr>
          <w:rFonts w:cs="Arial"/>
          <w:lang w:val="en-NZ"/>
        </w:rPr>
        <w:t>section</w:t>
      </w:r>
      <w:r w:rsidRPr="00B31EFC">
        <w:rPr>
          <w:rFonts w:cs="Arial"/>
          <w:szCs w:val="22"/>
          <w:lang w:val="en-NZ"/>
        </w:rPr>
        <w:t xml:space="preserve"> 2.1.1</w:t>
      </w:r>
      <w:r w:rsidRPr="00B31EFC">
        <w:rPr>
          <w:rFonts w:cs="Arial"/>
        </w:rPr>
        <w:t>—</w:t>
      </w:r>
      <w:r w:rsidRPr="00B31EFC">
        <w:rPr>
          <w:rFonts w:cs="Arial"/>
          <w:szCs w:val="22"/>
          <w:lang w:val="en-NZ"/>
        </w:rPr>
        <w:t>5 does not apply in New Zealand</w:t>
      </w:r>
      <w:r w:rsidR="005863A4" w:rsidRPr="00B31EFC">
        <w:rPr>
          <w:rFonts w:cs="Arial"/>
          <w:szCs w:val="22"/>
          <w:lang w:val="en-NZ"/>
        </w:rPr>
        <w:t>.</w:t>
      </w:r>
      <w:r w:rsidR="004E38E6">
        <w:rPr>
          <w:rFonts w:cs="Arial"/>
          <w:szCs w:val="22"/>
          <w:lang w:val="en-NZ"/>
        </w:rPr>
        <w:t xml:space="preserve"> </w:t>
      </w:r>
      <w:r w:rsidR="002D28E3" w:rsidRPr="002D28E3">
        <w:rPr>
          <w:rFonts w:cs="Arial"/>
          <w:szCs w:val="22"/>
          <w:lang w:val="en-NZ"/>
        </w:rPr>
        <w:t>A new Note w</w:t>
      </w:r>
      <w:r w:rsidR="002D28E3">
        <w:rPr>
          <w:rFonts w:cs="Arial"/>
          <w:szCs w:val="22"/>
          <w:lang w:val="en-NZ"/>
        </w:rPr>
        <w:t>ould</w:t>
      </w:r>
      <w:r w:rsidR="002D28E3" w:rsidRPr="002D28E3">
        <w:rPr>
          <w:rFonts w:cs="Arial"/>
          <w:szCs w:val="22"/>
          <w:lang w:val="en-NZ"/>
        </w:rPr>
        <w:t xml:space="preserve"> </w:t>
      </w:r>
      <w:r w:rsidR="00092FFA">
        <w:rPr>
          <w:rFonts w:cs="Arial"/>
          <w:szCs w:val="22"/>
          <w:lang w:val="en-NZ"/>
        </w:rPr>
        <w:t xml:space="preserve">also </w:t>
      </w:r>
      <w:r w:rsidR="002D28E3" w:rsidRPr="002D28E3">
        <w:rPr>
          <w:rFonts w:cs="Arial"/>
          <w:szCs w:val="22"/>
          <w:lang w:val="en-NZ"/>
        </w:rPr>
        <w:t xml:space="preserve">be </w:t>
      </w:r>
      <w:r w:rsidR="00207D7A">
        <w:rPr>
          <w:rFonts w:cs="Arial"/>
          <w:szCs w:val="22"/>
          <w:lang w:val="en-NZ"/>
        </w:rPr>
        <w:t>added</w:t>
      </w:r>
      <w:r w:rsidR="002D28E3" w:rsidRPr="002D28E3">
        <w:rPr>
          <w:rFonts w:cs="Arial"/>
          <w:szCs w:val="22"/>
          <w:lang w:val="en-NZ"/>
        </w:rPr>
        <w:t xml:space="preserve"> </w:t>
      </w:r>
      <w:r w:rsidR="00207D7A">
        <w:rPr>
          <w:rFonts w:cs="Arial"/>
          <w:szCs w:val="22"/>
          <w:lang w:val="en-NZ"/>
        </w:rPr>
        <w:t>at the end of</w:t>
      </w:r>
      <w:r w:rsidR="002D28E3" w:rsidRPr="002D28E3">
        <w:rPr>
          <w:rFonts w:cs="Arial"/>
          <w:szCs w:val="22"/>
          <w:lang w:val="en-NZ"/>
        </w:rPr>
        <w:t xml:space="preserve"> paragraph 2.1.1—5(b) </w:t>
      </w:r>
      <w:r w:rsidR="00485E5C">
        <w:rPr>
          <w:rFonts w:cs="Arial"/>
          <w:szCs w:val="22"/>
          <w:lang w:val="en-NZ"/>
        </w:rPr>
        <w:t>clarify</w:t>
      </w:r>
      <w:r w:rsidR="009F1CB4">
        <w:rPr>
          <w:rFonts w:cs="Arial"/>
          <w:szCs w:val="22"/>
          <w:lang w:val="en-NZ"/>
        </w:rPr>
        <w:t>ing</w:t>
      </w:r>
      <w:r w:rsidR="002D28E3" w:rsidRPr="002D28E3">
        <w:rPr>
          <w:rFonts w:cs="Arial"/>
          <w:szCs w:val="22"/>
          <w:lang w:val="en-NZ"/>
        </w:rPr>
        <w:t xml:space="preserve"> that fortification with </w:t>
      </w:r>
      <w:proofErr w:type="spellStart"/>
      <w:r w:rsidR="002D28E3" w:rsidRPr="002D28E3">
        <w:rPr>
          <w:rFonts w:cs="Arial"/>
          <w:szCs w:val="22"/>
          <w:lang w:val="en-NZ"/>
        </w:rPr>
        <w:t>thiamin</w:t>
      </w:r>
      <w:proofErr w:type="spellEnd"/>
      <w:r w:rsidR="002D28E3" w:rsidRPr="002D28E3">
        <w:rPr>
          <w:rFonts w:cs="Arial"/>
          <w:szCs w:val="22"/>
          <w:lang w:val="en-NZ"/>
        </w:rPr>
        <w:t xml:space="preserve"> in bread flour remains applicable in Australia only</w:t>
      </w:r>
      <w:r w:rsidR="002D28E3">
        <w:rPr>
          <w:rFonts w:cs="Arial"/>
          <w:szCs w:val="22"/>
          <w:lang w:val="en-NZ"/>
        </w:rPr>
        <w:t>.</w:t>
      </w:r>
    </w:p>
    <w:p w14:paraId="4A7E7DAB" w14:textId="514C1BD5" w:rsidR="00E520FE" w:rsidRPr="00932F14" w:rsidRDefault="00E520FE" w:rsidP="00E520FE">
      <w:pPr>
        <w:pStyle w:val="Heading2"/>
      </w:pPr>
      <w:bookmarkStart w:id="43" w:name="_Toc300933435"/>
      <w:bookmarkStart w:id="44" w:name="_Toc125028808"/>
      <w:r>
        <w:lastRenderedPageBreak/>
        <w:t>2.</w:t>
      </w:r>
      <w:r w:rsidR="002277EE">
        <w:t>3</w:t>
      </w:r>
      <w:r>
        <w:tab/>
        <w:t>Risk communication</w:t>
      </w:r>
      <w:bookmarkEnd w:id="43"/>
      <w:bookmarkEnd w:id="44"/>
      <w:r>
        <w:t xml:space="preserve"> </w:t>
      </w:r>
    </w:p>
    <w:p w14:paraId="71A7E774" w14:textId="49A2F5E0" w:rsidR="00E520FE" w:rsidRPr="00F73D7B" w:rsidRDefault="00E520FE" w:rsidP="00022DBC">
      <w:pPr>
        <w:pStyle w:val="Heading3"/>
        <w:rPr>
          <w:color w:val="auto"/>
        </w:rPr>
      </w:pPr>
      <w:bookmarkStart w:id="45" w:name="_Toc300933437"/>
      <w:bookmarkStart w:id="46" w:name="_Toc125028809"/>
      <w:bookmarkStart w:id="47" w:name="_Toc286391012"/>
      <w:r w:rsidRPr="00F73D7B">
        <w:rPr>
          <w:color w:val="auto"/>
        </w:rPr>
        <w:t>2.</w:t>
      </w:r>
      <w:r w:rsidR="002277EE" w:rsidRPr="00F73D7B">
        <w:rPr>
          <w:color w:val="auto"/>
        </w:rPr>
        <w:t>3</w:t>
      </w:r>
      <w:r w:rsidRPr="00F73D7B">
        <w:rPr>
          <w:color w:val="auto"/>
        </w:rPr>
        <w:t>.1</w:t>
      </w:r>
      <w:r w:rsidRPr="00F73D7B">
        <w:rPr>
          <w:color w:val="auto"/>
        </w:rPr>
        <w:tab/>
        <w:t>Consultation</w:t>
      </w:r>
      <w:bookmarkEnd w:id="45"/>
      <w:bookmarkEnd w:id="46"/>
    </w:p>
    <w:p w14:paraId="7790C37A" w14:textId="77777777" w:rsidR="00D569CF" w:rsidRDefault="00D569CF" w:rsidP="00D569CF">
      <w:pPr>
        <w:ind w:right="-711"/>
        <w:rPr>
          <w:szCs w:val="22"/>
        </w:rPr>
      </w:pPr>
      <w:r w:rsidRPr="0027513D">
        <w:rPr>
          <w:szCs w:val="22"/>
        </w:rPr>
        <w:t xml:space="preserve">Consultation is a key part of </w:t>
      </w:r>
      <w:r>
        <w:rPr>
          <w:szCs w:val="22"/>
        </w:rPr>
        <w:t xml:space="preserve">the </w:t>
      </w:r>
      <w:r w:rsidRPr="0027513D">
        <w:rPr>
          <w:szCs w:val="22"/>
        </w:rPr>
        <w:t>standards development process</w:t>
      </w:r>
      <w:r>
        <w:rPr>
          <w:szCs w:val="22"/>
        </w:rPr>
        <w:t xml:space="preserve"> for </w:t>
      </w:r>
      <w:r w:rsidRPr="007B2686">
        <w:rPr>
          <w:szCs w:val="22"/>
        </w:rPr>
        <w:t>Food Standard</w:t>
      </w:r>
      <w:r>
        <w:rPr>
          <w:szCs w:val="22"/>
        </w:rPr>
        <w:t>s Australia New Zealand (FSANZ)</w:t>
      </w:r>
      <w:r w:rsidRPr="0027513D">
        <w:rPr>
          <w:szCs w:val="22"/>
        </w:rPr>
        <w:t xml:space="preserve">. </w:t>
      </w:r>
    </w:p>
    <w:p w14:paraId="55B1C1BD" w14:textId="77777777" w:rsidR="00D569CF" w:rsidRDefault="00D569CF" w:rsidP="00D569CF">
      <w:pPr>
        <w:ind w:right="-711"/>
        <w:rPr>
          <w:szCs w:val="22"/>
        </w:rPr>
      </w:pPr>
    </w:p>
    <w:p w14:paraId="4AB4E175" w14:textId="12BFD9DB" w:rsidR="0027513D" w:rsidRDefault="00D569CF" w:rsidP="0055327C">
      <w:pPr>
        <w:ind w:right="-711"/>
        <w:rPr>
          <w:szCs w:val="22"/>
        </w:rPr>
      </w:pPr>
      <w:r w:rsidRPr="00113366">
        <w:t xml:space="preserve">All calls for submissions are notified via </w:t>
      </w:r>
      <w:r>
        <w:t xml:space="preserve">the Notification Circular, </w:t>
      </w:r>
      <w:r w:rsidRPr="00113366">
        <w:t xml:space="preserve">and through FSANZ’s social media </w:t>
      </w:r>
      <w:r w:rsidR="005E6C50">
        <w:t xml:space="preserve">channels </w:t>
      </w:r>
      <w:r>
        <w:t>and Food Standard News</w:t>
      </w:r>
      <w:r w:rsidR="00D14852">
        <w:t>.</w:t>
      </w:r>
      <w:r>
        <w:t xml:space="preserve"> </w:t>
      </w:r>
      <w:r w:rsidR="00D14852" w:rsidRPr="00D14852">
        <w:rPr>
          <w:rFonts w:eastAsia="Calibri" w:cs="Arial"/>
          <w:color w:val="2E3037"/>
          <w:szCs w:val="22"/>
          <w:lang w:val="en-AU" w:eastAsia="en-GB" w:bidi="ar-SA"/>
        </w:rPr>
        <w:t>Subscribers and interested parties are notified about the availability of reports for public comment.</w:t>
      </w:r>
    </w:p>
    <w:p w14:paraId="39C23E3B" w14:textId="2BE25FC2" w:rsidR="00E520FE" w:rsidRDefault="00A42928" w:rsidP="00022DBC">
      <w:pPr>
        <w:pStyle w:val="Heading3"/>
      </w:pPr>
      <w:bookmarkStart w:id="48" w:name="_Toc300761912"/>
      <w:bookmarkStart w:id="49" w:name="_Toc300933439"/>
      <w:bookmarkStart w:id="50" w:name="_Toc125028810"/>
      <w:bookmarkEnd w:id="47"/>
      <w:r>
        <w:t>2.3.2</w:t>
      </w:r>
      <w:r w:rsidR="00E520FE" w:rsidRPr="00022DBC">
        <w:tab/>
      </w:r>
      <w:r w:rsidR="00E520FE" w:rsidRPr="00490B5E">
        <w:rPr>
          <w:color w:val="auto"/>
        </w:rPr>
        <w:t>World</w:t>
      </w:r>
      <w:r w:rsidR="00E520FE" w:rsidRPr="00022DBC">
        <w:t xml:space="preserve"> Trade Organization (WTO)</w:t>
      </w:r>
      <w:bookmarkEnd w:id="48"/>
      <w:bookmarkEnd w:id="49"/>
      <w:bookmarkEnd w:id="50"/>
    </w:p>
    <w:p w14:paraId="00C10E27" w14:textId="77777777" w:rsidR="00E929BA" w:rsidRPr="00DC6570" w:rsidRDefault="00E929BA" w:rsidP="00E929BA">
      <w:pPr>
        <w:rPr>
          <w:rFonts w:cs="Arial"/>
          <w:color w:val="000000"/>
        </w:rPr>
      </w:pPr>
      <w:r w:rsidRPr="00DC6570">
        <w:rPr>
          <w:rFonts w:cs="Arial"/>
          <w:color w:val="000000"/>
        </w:rPr>
        <w:t>As members of the World Trade Organization (WTO), Australia and New Zealand are obliged to notify WTO member nations whe</w:t>
      </w:r>
      <w:r>
        <w:rPr>
          <w:rFonts w:cs="Arial"/>
          <w:color w:val="000000"/>
        </w:rPr>
        <w:t>re</w:t>
      </w:r>
      <w:r w:rsidRPr="00DC6570">
        <w:rPr>
          <w:rFonts w:cs="Arial"/>
          <w:color w:val="000000"/>
        </w:rPr>
        <w:t xml:space="preserve"> proposed mandatory regulatory measures are inconsistent with existing or imminent international standards and the proposed measure may have a significant effect on trade.</w:t>
      </w:r>
    </w:p>
    <w:p w14:paraId="0948A0E6" w14:textId="77777777" w:rsidR="00E929BA" w:rsidRPr="00F56952" w:rsidRDefault="00E929BA" w:rsidP="00E929BA">
      <w:pPr>
        <w:tabs>
          <w:tab w:val="left" w:pos="1560"/>
        </w:tabs>
      </w:pPr>
    </w:p>
    <w:p w14:paraId="425149E8" w14:textId="3CC23DB7" w:rsidR="00E929BA" w:rsidRPr="00F56952" w:rsidRDefault="00E929BA" w:rsidP="00E929BA">
      <w:pPr>
        <w:tabs>
          <w:tab w:val="left" w:pos="1560"/>
        </w:tabs>
        <w:rPr>
          <w:rFonts w:cs="Arial"/>
          <w:iCs/>
        </w:rPr>
      </w:pPr>
      <w:r>
        <w:rPr>
          <w:rFonts w:cs="Arial"/>
        </w:rPr>
        <w:t>A</w:t>
      </w:r>
      <w:r w:rsidRPr="00F56952">
        <w:rPr>
          <w:rFonts w:cs="Arial"/>
        </w:rPr>
        <w:t xml:space="preserve">mending the Code to make </w:t>
      </w:r>
      <w:r w:rsidR="007E1899">
        <w:rPr>
          <w:rFonts w:cs="Arial"/>
        </w:rPr>
        <w:t xml:space="preserve">relatively </w:t>
      </w:r>
      <w:r w:rsidRPr="00F56952">
        <w:rPr>
          <w:rFonts w:cs="Arial"/>
        </w:rPr>
        <w:t>minor corrections an</w:t>
      </w:r>
      <w:r>
        <w:rPr>
          <w:rFonts w:cs="Arial"/>
        </w:rPr>
        <w:t xml:space="preserve">d updates </w:t>
      </w:r>
      <w:r w:rsidRPr="00DC6570">
        <w:rPr>
          <w:rFonts w:cs="Arial"/>
        </w:rPr>
        <w:t xml:space="preserve">is unlikely to have a significant </w:t>
      </w:r>
      <w:r>
        <w:rPr>
          <w:rFonts w:cs="Arial"/>
        </w:rPr>
        <w:t xml:space="preserve">effect on international trade. </w:t>
      </w:r>
      <w:r w:rsidRPr="0024582E">
        <w:rPr>
          <w:rFonts w:cs="Arial"/>
          <w:iCs/>
        </w:rPr>
        <w:t xml:space="preserve">Therefore, </w:t>
      </w:r>
      <w:r>
        <w:rPr>
          <w:rFonts w:cs="Arial"/>
          <w:iCs/>
        </w:rPr>
        <w:t xml:space="preserve">a </w:t>
      </w:r>
      <w:r w:rsidRPr="0024582E">
        <w:rPr>
          <w:rFonts w:cs="Arial"/>
          <w:iCs/>
        </w:rPr>
        <w:t xml:space="preserve">notification to the WTO under </w:t>
      </w:r>
      <w:r w:rsidRPr="0024582E">
        <w:rPr>
          <w:rFonts w:cs="Arial"/>
        </w:rPr>
        <w:t xml:space="preserve">Australia’s </w:t>
      </w:r>
      <w:r w:rsidRPr="00F56952">
        <w:rPr>
          <w:rFonts w:cs="Arial"/>
        </w:rPr>
        <w:t>and New Zealand’s</w:t>
      </w:r>
      <w:r w:rsidRPr="00F56952">
        <w:rPr>
          <w:rFonts w:cs="Arial"/>
          <w:iCs/>
        </w:rPr>
        <w:t xml:space="preserve"> obligations under the WTO Technical Barriers to Trade or Sanitary and Phytosanitary Measures Agreement was not considered necessary.</w:t>
      </w:r>
    </w:p>
    <w:p w14:paraId="04625ECA" w14:textId="409B39B3" w:rsidR="00E520FE" w:rsidRDefault="00022DBC" w:rsidP="00022DBC">
      <w:pPr>
        <w:pStyle w:val="Heading2"/>
      </w:pPr>
      <w:bookmarkStart w:id="51" w:name="_Toc125028811"/>
      <w:r>
        <w:t>2.</w:t>
      </w:r>
      <w:r w:rsidR="00722982">
        <w:t>4</w:t>
      </w:r>
      <w:r>
        <w:tab/>
        <w:t>FSANZ Act assessment requirements</w:t>
      </w:r>
      <w:bookmarkEnd w:id="51"/>
    </w:p>
    <w:p w14:paraId="16D23D5C" w14:textId="77777777" w:rsidR="00B20922" w:rsidRPr="0003444F" w:rsidRDefault="00B20922" w:rsidP="00B20922">
      <w:r w:rsidRPr="0003444F">
        <w:t xml:space="preserve">When assessing this Proposal and the subsequent development of a food regulatory measure, FSANZ has had regard to the </w:t>
      </w:r>
      <w:r w:rsidRPr="0003444F" w:rsidDel="00932F14">
        <w:t xml:space="preserve">following </w:t>
      </w:r>
      <w:r w:rsidRPr="0003444F">
        <w:t xml:space="preserve">matters in section 59 of the </w:t>
      </w:r>
      <w:r w:rsidRPr="00803900">
        <w:rPr>
          <w:i/>
        </w:rPr>
        <w:t>Food Standards Australia New Zealand Act 1991</w:t>
      </w:r>
      <w:r w:rsidRPr="00803900">
        <w:t xml:space="preserve"> (</w:t>
      </w:r>
      <w:r w:rsidRPr="0003444F">
        <w:t>FSANZ Act</w:t>
      </w:r>
      <w:r>
        <w:t>)</w:t>
      </w:r>
      <w:r w:rsidRPr="0003444F">
        <w:t>:</w:t>
      </w:r>
    </w:p>
    <w:p w14:paraId="0AAF2CF4" w14:textId="38C4EEF1" w:rsidR="00726C2F" w:rsidRPr="00914030" w:rsidRDefault="00726C2F" w:rsidP="00726C2F">
      <w:pPr>
        <w:pStyle w:val="Heading3"/>
      </w:pPr>
      <w:bookmarkStart w:id="52" w:name="_Toc125028812"/>
      <w:r>
        <w:t>2.</w:t>
      </w:r>
      <w:r w:rsidR="00722982">
        <w:t>4</w:t>
      </w:r>
      <w:r>
        <w:t>.1</w:t>
      </w:r>
      <w:r>
        <w:tab/>
        <w:t xml:space="preserve">Section </w:t>
      </w:r>
      <w:r w:rsidRPr="00B20922">
        <w:rPr>
          <w:color w:val="auto"/>
        </w:rPr>
        <w:t>59</w:t>
      </w:r>
      <w:bookmarkEnd w:id="52"/>
    </w:p>
    <w:p w14:paraId="7D5C4E6D" w14:textId="2C9105D1" w:rsidR="00726C2F" w:rsidRDefault="00195254" w:rsidP="00726C2F">
      <w:pPr>
        <w:pStyle w:val="Heading4"/>
        <w:rPr>
          <w:lang w:val="en-AU"/>
        </w:rPr>
      </w:pPr>
      <w:r>
        <w:t>2.</w:t>
      </w:r>
      <w:r w:rsidR="00722982">
        <w:t>4</w:t>
      </w:r>
      <w:r>
        <w:t>.1.1</w:t>
      </w:r>
      <w:r>
        <w:tab/>
        <w:t>Co</w:t>
      </w:r>
      <w:proofErr w:type="spellStart"/>
      <w:r>
        <w:rPr>
          <w:lang w:val="en-AU"/>
        </w:rPr>
        <w:t>nsideration</w:t>
      </w:r>
      <w:proofErr w:type="spellEnd"/>
      <w:r>
        <w:rPr>
          <w:lang w:val="en-AU"/>
        </w:rPr>
        <w:t xml:space="preserve"> of costs and benefits</w:t>
      </w:r>
    </w:p>
    <w:p w14:paraId="331390D9" w14:textId="17576CC6" w:rsidR="00D34CB3" w:rsidRDefault="00D34CB3" w:rsidP="00D34CB3">
      <w:r w:rsidRPr="00866F8B">
        <w:t xml:space="preserve">As all the proposed variations are </w:t>
      </w:r>
      <w:r w:rsidR="00E66876">
        <w:t xml:space="preserve">relatively </w:t>
      </w:r>
      <w:r w:rsidRPr="00866F8B">
        <w:t xml:space="preserve">minor </w:t>
      </w:r>
      <w:r>
        <w:t>in nature</w:t>
      </w:r>
      <w:r w:rsidRPr="00866F8B">
        <w:t xml:space="preserve">, </w:t>
      </w:r>
      <w:r>
        <w:t xml:space="preserve">FSANZ considers it likely that there would be </w:t>
      </w:r>
      <w:r w:rsidRPr="00866F8B">
        <w:t xml:space="preserve">no </w:t>
      </w:r>
      <w:r>
        <w:t xml:space="preserve">or low </w:t>
      </w:r>
      <w:r w:rsidRPr="00866F8B">
        <w:t>cost benefit issues</w:t>
      </w:r>
      <w:r>
        <w:t>.</w:t>
      </w:r>
    </w:p>
    <w:p w14:paraId="10A8AF93" w14:textId="77777777" w:rsidR="00D34CB3" w:rsidRDefault="00D34CB3" w:rsidP="00D34CB3"/>
    <w:p w14:paraId="32644C9B" w14:textId="4C826ADA" w:rsidR="00D34CB3" w:rsidRDefault="00D34CB3" w:rsidP="00D34CB3">
      <w:pPr>
        <w:rPr>
          <w:rFonts w:cs="Arial"/>
        </w:rPr>
      </w:pPr>
      <w:r>
        <w:t xml:space="preserve">If the amendments are not made, errors, </w:t>
      </w:r>
      <w:r w:rsidR="00733A0E">
        <w:t xml:space="preserve">omissions, </w:t>
      </w:r>
      <w:r>
        <w:t>inconsistencies and out of date references would continue to exist</w:t>
      </w:r>
      <w:r w:rsidR="004D26E0">
        <w:t>,</w:t>
      </w:r>
      <w:r>
        <w:t xml:space="preserve"> and the Code will</w:t>
      </w:r>
      <w:r w:rsidRPr="00121487">
        <w:rPr>
          <w:rFonts w:cs="Arial"/>
        </w:rPr>
        <w:t xml:space="preserve"> retain provisions known to be inadequate</w:t>
      </w:r>
      <w:r>
        <w:rPr>
          <w:rFonts w:cs="Arial"/>
        </w:rPr>
        <w:t>.</w:t>
      </w:r>
    </w:p>
    <w:p w14:paraId="4CDBA49C" w14:textId="77777777" w:rsidR="00D34CB3" w:rsidRDefault="00D34CB3" w:rsidP="00D34CB3"/>
    <w:p w14:paraId="67FEBFDE" w14:textId="6A77FBD3" w:rsidR="00D34CB3" w:rsidRPr="00D34CB3" w:rsidRDefault="00D34CB3" w:rsidP="00D34CB3">
      <w:pPr>
        <w:rPr>
          <w:lang w:val="en-AU" w:bidi="ar-SA"/>
        </w:rPr>
      </w:pPr>
      <w:r w:rsidRPr="00444B13">
        <w:t xml:space="preserve">The </w:t>
      </w:r>
      <w:r w:rsidR="00642D1E">
        <w:t xml:space="preserve">Australian Government’s </w:t>
      </w:r>
      <w:r w:rsidR="00395E5D">
        <w:t xml:space="preserve">Office of Impact Analysis, formerly known as the </w:t>
      </w:r>
      <w:r w:rsidRPr="00444B13">
        <w:t>Office of Best Practice Regulation</w:t>
      </w:r>
      <w:r w:rsidR="00917650">
        <w:t xml:space="preserve"> (OBPR)</w:t>
      </w:r>
      <w:r w:rsidRPr="00444B13">
        <w:t xml:space="preserve">, in an email </w:t>
      </w:r>
      <w:r w:rsidRPr="00395E5D">
        <w:t xml:space="preserve">on </w:t>
      </w:r>
      <w:r w:rsidR="00395E5D" w:rsidRPr="00395E5D">
        <w:t>22.12.22</w:t>
      </w:r>
      <w:r w:rsidRPr="00395E5D">
        <w:t xml:space="preserve"> (reference ID </w:t>
      </w:r>
      <w:r w:rsidR="00395E5D" w:rsidRPr="00395E5D">
        <w:t>OBPR22-03854</w:t>
      </w:r>
      <w:r w:rsidRPr="00395E5D">
        <w:t xml:space="preserve">) </w:t>
      </w:r>
      <w:r w:rsidRPr="00444B13">
        <w:t>advised that, on the basis of information provided by FSANZ,</w:t>
      </w:r>
      <w:r w:rsidRPr="00444B13">
        <w:rPr>
          <w:rFonts w:ascii="Calibri" w:hAnsi="Calibri"/>
          <w:szCs w:val="22"/>
          <w:lang w:val="en-AU"/>
        </w:rPr>
        <w:t xml:space="preserve"> </w:t>
      </w:r>
      <w:r w:rsidR="00744DD6" w:rsidRPr="00744DD6">
        <w:t xml:space="preserve">Proposal </w:t>
      </w:r>
      <w:r w:rsidR="00F278A5">
        <w:rPr>
          <w:rFonts w:cs="Arial"/>
          <w:szCs w:val="22"/>
          <w:lang w:val="en-AU"/>
        </w:rPr>
        <w:t>P1061</w:t>
      </w:r>
      <w:r w:rsidRPr="00444B13">
        <w:rPr>
          <w:rFonts w:cs="Arial"/>
          <w:szCs w:val="22"/>
          <w:lang w:val="en-AU"/>
        </w:rPr>
        <w:t xml:space="preserve"> </w:t>
      </w:r>
      <w:r w:rsidR="004A6B4E" w:rsidRPr="004A6B4E">
        <w:rPr>
          <w:rFonts w:cs="Arial"/>
          <w:szCs w:val="22"/>
          <w:lang w:val="en-AU"/>
        </w:rPr>
        <w:t>is unlikely to have</w:t>
      </w:r>
      <w:r w:rsidR="002C4E91">
        <w:rPr>
          <w:rFonts w:cs="Arial"/>
          <w:szCs w:val="22"/>
          <w:lang w:val="en-AU"/>
        </w:rPr>
        <w:t xml:space="preserve"> a</w:t>
      </w:r>
      <w:r w:rsidR="004A6B4E" w:rsidRPr="004A6B4E">
        <w:rPr>
          <w:rFonts w:cs="Arial"/>
          <w:szCs w:val="22"/>
          <w:lang w:val="en-AU"/>
        </w:rPr>
        <w:t xml:space="preserve"> more than minor regulatory impact</w:t>
      </w:r>
      <w:r w:rsidRPr="00444B13">
        <w:rPr>
          <w:rFonts w:cs="Arial"/>
          <w:szCs w:val="22"/>
          <w:lang w:val="en-AU"/>
        </w:rPr>
        <w:t>.</w:t>
      </w:r>
      <w:r w:rsidR="00F278A5">
        <w:rPr>
          <w:rFonts w:cs="Arial"/>
          <w:szCs w:val="22"/>
          <w:lang w:val="en-AU"/>
        </w:rPr>
        <w:t xml:space="preserve"> As such, the </w:t>
      </w:r>
      <w:r w:rsidR="00F278A5">
        <w:t>p</w:t>
      </w:r>
      <w:r w:rsidR="00F278A5" w:rsidRPr="00444B13">
        <w:t>reparation of a</w:t>
      </w:r>
      <w:r w:rsidR="00F278A5">
        <w:t>n Impact Analysis</w:t>
      </w:r>
      <w:r w:rsidR="00F278A5" w:rsidRPr="00444B13">
        <w:t xml:space="preserve"> </w:t>
      </w:r>
      <w:r w:rsidR="00F278A5" w:rsidRPr="00444B13">
        <w:rPr>
          <w:rFonts w:cs="Arial"/>
          <w:szCs w:val="22"/>
          <w:lang w:val="en-AU"/>
        </w:rPr>
        <w:t xml:space="preserve">is not required for </w:t>
      </w:r>
      <w:r w:rsidR="00744DD6">
        <w:rPr>
          <w:rFonts w:cs="Arial"/>
          <w:szCs w:val="22"/>
          <w:lang w:val="en-AU"/>
        </w:rPr>
        <w:t>this Proposal</w:t>
      </w:r>
      <w:r w:rsidR="00F278A5" w:rsidRPr="00444B13">
        <w:rPr>
          <w:rFonts w:cs="Arial"/>
          <w:szCs w:val="22"/>
          <w:lang w:val="en-AU"/>
        </w:rPr>
        <w:t>.</w:t>
      </w:r>
    </w:p>
    <w:p w14:paraId="33D25F1D" w14:textId="417B1BFC" w:rsidR="00726C2F" w:rsidRDefault="00726C2F" w:rsidP="00726C2F">
      <w:pPr>
        <w:pStyle w:val="Heading4"/>
      </w:pPr>
      <w:r>
        <w:t>2.</w:t>
      </w:r>
      <w:r w:rsidR="00DA7D83">
        <w:t>4</w:t>
      </w:r>
      <w:r>
        <w:t>.1.2</w:t>
      </w:r>
      <w:r>
        <w:tab/>
        <w:t>Other measures</w:t>
      </w:r>
    </w:p>
    <w:p w14:paraId="27B9A82D" w14:textId="77777777" w:rsidR="00456BAA" w:rsidRPr="00052243" w:rsidRDefault="00456BAA" w:rsidP="00456BAA">
      <w:r>
        <w:t>There are no</w:t>
      </w:r>
      <w:r w:rsidRPr="007F7BF7">
        <w:t xml:space="preserve"> other measures </w:t>
      </w:r>
      <w:r>
        <w:t xml:space="preserve">(whether available to FSANZ or not) that </w:t>
      </w:r>
      <w:r w:rsidRPr="007F7BF7">
        <w:t>would</w:t>
      </w:r>
      <w:r>
        <w:t xml:space="preserve"> be more cost</w:t>
      </w:r>
      <w:r>
        <w:noBreakHyphen/>
        <w:t xml:space="preserve">effective than a food regulatory measure varied as a result of the </w:t>
      </w:r>
      <w:r w:rsidRPr="00052243">
        <w:t>Proposal.</w:t>
      </w:r>
    </w:p>
    <w:p w14:paraId="5D586997" w14:textId="744E1548" w:rsidR="00726C2F" w:rsidRDefault="008B0075" w:rsidP="008B0075">
      <w:pPr>
        <w:pStyle w:val="Heading4"/>
      </w:pPr>
      <w:r>
        <w:t>2.</w:t>
      </w:r>
      <w:r w:rsidR="00DA7D83">
        <w:t>4</w:t>
      </w:r>
      <w:r>
        <w:t>.1.3</w:t>
      </w:r>
      <w:r>
        <w:tab/>
        <w:t>A</w:t>
      </w:r>
      <w:r w:rsidR="00726C2F" w:rsidRPr="00914030">
        <w:t>ny relevant New Zealand standards</w:t>
      </w:r>
    </w:p>
    <w:p w14:paraId="23D7B833" w14:textId="25A5AF1C" w:rsidR="008B0075" w:rsidRDefault="00553CFB" w:rsidP="008B0075">
      <w:pPr>
        <w:rPr>
          <w:lang w:bidi="ar-SA"/>
        </w:rPr>
      </w:pPr>
      <w:r>
        <w:t xml:space="preserve">The </w:t>
      </w:r>
      <w:r w:rsidR="00382C88">
        <w:rPr>
          <w:lang w:bidi="ar-SA"/>
        </w:rPr>
        <w:t>s</w:t>
      </w:r>
      <w:r w:rsidRPr="000740DC">
        <w:rPr>
          <w:lang w:bidi="ar-SA"/>
        </w:rPr>
        <w:t xml:space="preserve">tandards affected by </w:t>
      </w:r>
      <w:r>
        <w:rPr>
          <w:lang w:bidi="ar-SA"/>
        </w:rPr>
        <w:t>the proposed</w:t>
      </w:r>
      <w:r w:rsidRPr="000740DC">
        <w:rPr>
          <w:lang w:bidi="ar-SA"/>
        </w:rPr>
        <w:t xml:space="preserve"> amendments </w:t>
      </w:r>
      <w:r>
        <w:rPr>
          <w:lang w:bidi="ar-SA"/>
        </w:rPr>
        <w:t xml:space="preserve">apply </w:t>
      </w:r>
      <w:r w:rsidR="00382C88">
        <w:rPr>
          <w:lang w:bidi="ar-SA"/>
        </w:rPr>
        <w:t xml:space="preserve">either in Australia only; or </w:t>
      </w:r>
      <w:r w:rsidR="006F07FA">
        <w:rPr>
          <w:lang w:bidi="ar-SA"/>
        </w:rPr>
        <w:t xml:space="preserve">in </w:t>
      </w:r>
      <w:r>
        <w:rPr>
          <w:lang w:bidi="ar-SA"/>
        </w:rPr>
        <w:t xml:space="preserve">both Australia and </w:t>
      </w:r>
      <w:r w:rsidRPr="000740DC">
        <w:rPr>
          <w:lang w:bidi="ar-SA"/>
        </w:rPr>
        <w:t>New Zealand.</w:t>
      </w:r>
      <w:r>
        <w:rPr>
          <w:lang w:bidi="ar-SA"/>
        </w:rPr>
        <w:t xml:space="preserve"> </w:t>
      </w:r>
      <w:r w:rsidR="00370D64">
        <w:rPr>
          <w:lang w:bidi="ar-SA"/>
        </w:rPr>
        <w:t>The proposed amendments do not amend any</w:t>
      </w:r>
      <w:r w:rsidR="008B0075">
        <w:rPr>
          <w:lang w:bidi="ar-SA"/>
        </w:rPr>
        <w:t xml:space="preserve"> New Zealand </w:t>
      </w:r>
      <w:r>
        <w:rPr>
          <w:lang w:bidi="ar-SA"/>
        </w:rPr>
        <w:t xml:space="preserve">only </w:t>
      </w:r>
      <w:r w:rsidR="00382C88">
        <w:rPr>
          <w:lang w:bidi="ar-SA"/>
        </w:rPr>
        <w:t>s</w:t>
      </w:r>
      <w:r w:rsidR="008B0075">
        <w:rPr>
          <w:lang w:bidi="ar-SA"/>
        </w:rPr>
        <w:t>tandards.</w:t>
      </w:r>
    </w:p>
    <w:p w14:paraId="116F02EA" w14:textId="77777777" w:rsidR="00370D64" w:rsidRDefault="00370D64" w:rsidP="008B0075">
      <w:pPr>
        <w:rPr>
          <w:lang w:bidi="ar-SA"/>
        </w:rPr>
      </w:pPr>
    </w:p>
    <w:p w14:paraId="136283F0" w14:textId="6CC81A38" w:rsidR="00370D64" w:rsidRDefault="00370D64" w:rsidP="008B0075">
      <w:pPr>
        <w:rPr>
          <w:lang w:bidi="ar-SA"/>
        </w:rPr>
      </w:pPr>
      <w:r>
        <w:rPr>
          <w:lang w:bidi="ar-SA"/>
        </w:rPr>
        <w:t xml:space="preserve">As explained above, the New Zealand Government has </w:t>
      </w:r>
      <w:r w:rsidR="005D1C73">
        <w:rPr>
          <w:lang w:bidi="ar-SA"/>
        </w:rPr>
        <w:t xml:space="preserve">already </w:t>
      </w:r>
      <w:r>
        <w:rPr>
          <w:lang w:bidi="ar-SA"/>
        </w:rPr>
        <w:t xml:space="preserve">taken action under its foods law </w:t>
      </w:r>
      <w:r w:rsidR="005D1C73">
        <w:rPr>
          <w:lang w:bidi="ar-SA"/>
        </w:rPr>
        <w:t>to require</w:t>
      </w:r>
      <w:r>
        <w:rPr>
          <w:lang w:bidi="ar-SA"/>
        </w:rPr>
        <w:t xml:space="preserve"> that</w:t>
      </w:r>
      <w:r w:rsidR="005D1C73">
        <w:rPr>
          <w:lang w:bidi="ar-SA"/>
        </w:rPr>
        <w:t>,</w:t>
      </w:r>
      <w:r>
        <w:rPr>
          <w:lang w:bidi="ar-SA"/>
        </w:rPr>
        <w:t xml:space="preserve"> from </w:t>
      </w:r>
      <w:r w:rsidR="005D1C73">
        <w:rPr>
          <w:lang w:bidi="ar-SA"/>
        </w:rPr>
        <w:t>13 August 2023,</w:t>
      </w:r>
      <w:r>
        <w:rPr>
          <w:lang w:bidi="ar-SA"/>
        </w:rPr>
        <w:t xml:space="preserve"> all wheat flour</w:t>
      </w:r>
      <w:r w:rsidRPr="00771633">
        <w:rPr>
          <w:lang w:bidi="ar-SA"/>
        </w:rPr>
        <w:t xml:space="preserve"> </w:t>
      </w:r>
      <w:r w:rsidR="00AF73E9" w:rsidRPr="00771633">
        <w:rPr>
          <w:lang w:bidi="ar-SA"/>
        </w:rPr>
        <w:t>sold as</w:t>
      </w:r>
      <w:r>
        <w:rPr>
          <w:lang w:bidi="ar-SA"/>
        </w:rPr>
        <w:t xml:space="preserve"> suitable for bread making in New Zealand must </w:t>
      </w:r>
      <w:r w:rsidR="00D94AB9" w:rsidRPr="00771633">
        <w:rPr>
          <w:lang w:bidi="ar-SA"/>
        </w:rPr>
        <w:t>contain</w:t>
      </w:r>
      <w:r>
        <w:rPr>
          <w:lang w:bidi="ar-SA"/>
        </w:rPr>
        <w:t xml:space="preserve"> folic acid in accordance with </w:t>
      </w:r>
      <w:r w:rsidRPr="004337A8">
        <w:rPr>
          <w:rFonts w:cs="Arial"/>
        </w:rPr>
        <w:t>section 2.1.1—5 of the Code</w:t>
      </w:r>
      <w:r>
        <w:rPr>
          <w:rFonts w:cs="Arial"/>
          <w:szCs w:val="22"/>
          <w:lang w:val="en-NZ"/>
        </w:rPr>
        <w:t xml:space="preserve">. </w:t>
      </w:r>
      <w:r w:rsidR="005D1C73" w:rsidRPr="00771633">
        <w:rPr>
          <w:rFonts w:cs="Arial"/>
          <w:szCs w:val="22"/>
          <w:lang w:val="en-NZ"/>
        </w:rPr>
        <w:t xml:space="preserve">In order to reflect this change, </w:t>
      </w:r>
      <w:r w:rsidRPr="00771633">
        <w:rPr>
          <w:rFonts w:cs="Arial"/>
        </w:rPr>
        <w:t xml:space="preserve">amendment of Note 1 to section 1.1.1—3 of the Code and removal of the Note to section 2.1.1—5 of the Code </w:t>
      </w:r>
      <w:r w:rsidR="001B1632">
        <w:rPr>
          <w:rFonts w:cs="Arial"/>
        </w:rPr>
        <w:t>are</w:t>
      </w:r>
      <w:r w:rsidR="00435098" w:rsidRPr="00771633">
        <w:rPr>
          <w:rFonts w:cs="Arial"/>
        </w:rPr>
        <w:t xml:space="preserve"> required</w:t>
      </w:r>
      <w:r w:rsidRPr="00771633">
        <w:rPr>
          <w:rFonts w:cs="Arial"/>
        </w:rPr>
        <w:t xml:space="preserve">. </w:t>
      </w:r>
      <w:r w:rsidR="00A85236" w:rsidRPr="00771633">
        <w:rPr>
          <w:rFonts w:cs="Arial"/>
        </w:rPr>
        <w:t>A new Note w</w:t>
      </w:r>
      <w:r w:rsidR="000335E1" w:rsidRPr="00771633">
        <w:rPr>
          <w:rFonts w:cs="Arial"/>
        </w:rPr>
        <w:t>ould</w:t>
      </w:r>
      <w:r w:rsidR="00A85236" w:rsidRPr="00771633">
        <w:rPr>
          <w:rFonts w:cs="Arial"/>
        </w:rPr>
        <w:t xml:space="preserve"> be </w:t>
      </w:r>
      <w:r w:rsidR="006945CC" w:rsidRPr="00771633">
        <w:rPr>
          <w:rFonts w:cs="Arial"/>
        </w:rPr>
        <w:t xml:space="preserve">also </w:t>
      </w:r>
      <w:r w:rsidR="00207D7A" w:rsidRPr="00771633">
        <w:rPr>
          <w:rFonts w:cs="Arial"/>
          <w:szCs w:val="22"/>
          <w:lang w:val="en-NZ"/>
        </w:rPr>
        <w:t>added at the end of</w:t>
      </w:r>
      <w:r w:rsidR="00207D7A" w:rsidRPr="002D28E3">
        <w:rPr>
          <w:rFonts w:cs="Arial"/>
          <w:szCs w:val="22"/>
          <w:lang w:val="en-NZ"/>
        </w:rPr>
        <w:t xml:space="preserve"> </w:t>
      </w:r>
      <w:r w:rsidR="00A85236" w:rsidRPr="00A85236">
        <w:rPr>
          <w:rFonts w:cs="Arial"/>
        </w:rPr>
        <w:t xml:space="preserve">paragraph 2.1.1—5(b) </w:t>
      </w:r>
      <w:r w:rsidR="0074579A">
        <w:rPr>
          <w:rFonts w:cs="Arial"/>
          <w:szCs w:val="22"/>
          <w:lang w:val="en-NZ"/>
        </w:rPr>
        <w:t>clarifying</w:t>
      </w:r>
      <w:r w:rsidR="0074579A" w:rsidRPr="002D28E3">
        <w:rPr>
          <w:rFonts w:cs="Arial"/>
          <w:szCs w:val="22"/>
          <w:lang w:val="en-NZ"/>
        </w:rPr>
        <w:t xml:space="preserve"> </w:t>
      </w:r>
      <w:r w:rsidR="00A85236" w:rsidRPr="00A85236">
        <w:rPr>
          <w:rFonts w:cs="Arial"/>
        </w:rPr>
        <w:t xml:space="preserve">that fortification with </w:t>
      </w:r>
      <w:proofErr w:type="spellStart"/>
      <w:r w:rsidR="00A85236" w:rsidRPr="00A85236">
        <w:rPr>
          <w:rFonts w:cs="Arial"/>
        </w:rPr>
        <w:t>thiamin</w:t>
      </w:r>
      <w:proofErr w:type="spellEnd"/>
      <w:r w:rsidR="00A85236" w:rsidRPr="00A85236">
        <w:rPr>
          <w:rFonts w:cs="Arial"/>
        </w:rPr>
        <w:t xml:space="preserve"> in bread flour remains applicable in Australia only</w:t>
      </w:r>
      <w:r w:rsidR="00A85236">
        <w:rPr>
          <w:rFonts w:cs="Arial"/>
        </w:rPr>
        <w:t>.</w:t>
      </w:r>
    </w:p>
    <w:p w14:paraId="25C2370C" w14:textId="628A5A5C" w:rsidR="00726C2F" w:rsidRPr="00914030" w:rsidRDefault="00BE3818" w:rsidP="00BE3818">
      <w:pPr>
        <w:pStyle w:val="Heading4"/>
      </w:pPr>
      <w:r>
        <w:t>2.</w:t>
      </w:r>
      <w:r w:rsidR="00DA7D83">
        <w:t>4</w:t>
      </w:r>
      <w:r>
        <w:t>.1.4</w:t>
      </w:r>
      <w:r>
        <w:tab/>
      </w:r>
      <w:r w:rsidR="0027513D">
        <w:t>A</w:t>
      </w:r>
      <w:r>
        <w:t>ny other relevant matters</w:t>
      </w:r>
    </w:p>
    <w:p w14:paraId="1B5166AF" w14:textId="77777777" w:rsidR="00BE3818" w:rsidRDefault="008B5567" w:rsidP="00BE3818">
      <w:pPr>
        <w:rPr>
          <w:lang w:bidi="ar-SA"/>
        </w:rPr>
      </w:pPr>
      <w:r>
        <w:t>Other relevant matters are considered below</w:t>
      </w:r>
      <w:r w:rsidR="00BE3818">
        <w:rPr>
          <w:lang w:bidi="ar-SA"/>
        </w:rPr>
        <w:t>.</w:t>
      </w:r>
      <w:r>
        <w:t xml:space="preserve"> </w:t>
      </w:r>
    </w:p>
    <w:p w14:paraId="1CDCFB34" w14:textId="71CF26E7" w:rsidR="00022DBC" w:rsidRPr="00914030" w:rsidRDefault="00BE3818" w:rsidP="00022DBC">
      <w:pPr>
        <w:pStyle w:val="Heading3"/>
      </w:pPr>
      <w:bookmarkStart w:id="53" w:name="_Toc125028813"/>
      <w:bookmarkStart w:id="54" w:name="_Toc300761897"/>
      <w:bookmarkStart w:id="55" w:name="_Toc300933440"/>
      <w:r>
        <w:t>2.</w:t>
      </w:r>
      <w:r w:rsidR="00DA7D83">
        <w:t>4</w:t>
      </w:r>
      <w:r>
        <w:t>.2</w:t>
      </w:r>
      <w:r w:rsidR="00022DBC" w:rsidRPr="00914030">
        <w:t>.</w:t>
      </w:r>
      <w:r w:rsidR="00022DBC" w:rsidRPr="00914030">
        <w:tab/>
      </w:r>
      <w:r>
        <w:t>Subsection 18(1)</w:t>
      </w:r>
      <w:bookmarkEnd w:id="53"/>
      <w:r>
        <w:t xml:space="preserve"> </w:t>
      </w:r>
      <w:bookmarkEnd w:id="54"/>
      <w:bookmarkEnd w:id="55"/>
    </w:p>
    <w:p w14:paraId="09F654B5" w14:textId="77777777" w:rsidR="00A51D8F" w:rsidRDefault="00A51D8F" w:rsidP="00A51D8F">
      <w:r w:rsidRPr="00914030">
        <w:rPr>
          <w:rFonts w:cs="Arial"/>
        </w:rPr>
        <w:t>FSANZ ha</w:t>
      </w:r>
      <w:r>
        <w:rPr>
          <w:rFonts w:cs="Arial"/>
        </w:rPr>
        <w:t>d regard to</w:t>
      </w:r>
      <w:r w:rsidRPr="00914030">
        <w:rPr>
          <w:rFonts w:cs="Arial"/>
        </w:rPr>
        <w:t xml:space="preserve"> </w:t>
      </w:r>
      <w:r w:rsidRPr="00914030">
        <w:t xml:space="preserve">the three objectives in subsection 18(1) of the </w:t>
      </w:r>
      <w:r>
        <w:t>FSANZ Act during the assessment of the proposal, that is:</w:t>
      </w:r>
    </w:p>
    <w:p w14:paraId="4A1C60AC" w14:textId="77777777" w:rsidR="00A51D8F" w:rsidRPr="00914030" w:rsidRDefault="00A51D8F" w:rsidP="00A51D8F"/>
    <w:p w14:paraId="3DB573D0" w14:textId="77777777" w:rsidR="00A51D8F" w:rsidRPr="002656F8" w:rsidRDefault="00A51D8F" w:rsidP="00FB4DFB">
      <w:pPr>
        <w:pStyle w:val="FSBullet1"/>
        <w:ind w:left="851" w:hanging="567"/>
      </w:pPr>
      <w:r>
        <w:t>the p</w:t>
      </w:r>
      <w:r w:rsidRPr="002656F8">
        <w:t>rotection of public health and safety</w:t>
      </w:r>
    </w:p>
    <w:p w14:paraId="7528B76B" w14:textId="77777777" w:rsidR="00A51D8F" w:rsidRPr="002656F8" w:rsidRDefault="00A51D8F" w:rsidP="00FB4DFB">
      <w:pPr>
        <w:pStyle w:val="FSBullet1"/>
        <w:ind w:left="851" w:hanging="567"/>
      </w:pPr>
      <w:r w:rsidRPr="002656F8">
        <w:t>the provision of adequate information relating to food to enable consumers to make informed choices</w:t>
      </w:r>
    </w:p>
    <w:p w14:paraId="3611814D" w14:textId="77777777" w:rsidR="00A51D8F" w:rsidRDefault="00A51D8F" w:rsidP="00FB4DFB">
      <w:pPr>
        <w:pStyle w:val="FSBullet1"/>
        <w:ind w:left="851" w:hanging="567"/>
        <w:rPr>
          <w:lang w:eastAsia="en-AU"/>
        </w:rPr>
      </w:pPr>
      <w:r w:rsidRPr="002656F8">
        <w:t>the pre</w:t>
      </w:r>
      <w:r w:rsidRPr="00914030">
        <w:t>vention of misleading or deceptive conduct</w:t>
      </w:r>
      <w:r>
        <w:t>.</w:t>
      </w:r>
    </w:p>
    <w:p w14:paraId="589A4382" w14:textId="77777777" w:rsidR="00A51D8F" w:rsidRDefault="00A51D8F" w:rsidP="00A51D8F">
      <w:pPr>
        <w:rPr>
          <w:lang w:eastAsia="en-AU"/>
        </w:rPr>
      </w:pPr>
    </w:p>
    <w:p w14:paraId="1B292252" w14:textId="6518FD1A" w:rsidR="00022DBC" w:rsidRPr="00BE3818" w:rsidRDefault="00A51D8F" w:rsidP="00022DBC">
      <w:pPr>
        <w:rPr>
          <w:color w:val="00B050"/>
        </w:rPr>
      </w:pPr>
      <w:r>
        <w:t xml:space="preserve">FSANZ </w:t>
      </w:r>
      <w:r w:rsidRPr="00866F8B">
        <w:t>concluded that</w:t>
      </w:r>
      <w:r>
        <w:t xml:space="preserve"> the proposed variations will have little or no direct impact in terms of these objectives. </w:t>
      </w:r>
      <w:r>
        <w:rPr>
          <w:szCs w:val="22"/>
        </w:rPr>
        <w:t xml:space="preserve">As mentioned above, the proposed amendments are </w:t>
      </w:r>
      <w:r w:rsidR="009D02AC">
        <w:rPr>
          <w:szCs w:val="22"/>
        </w:rPr>
        <w:t xml:space="preserve">relatively </w:t>
      </w:r>
      <w:r w:rsidRPr="00642D1E">
        <w:rPr>
          <w:szCs w:val="22"/>
        </w:rPr>
        <w:t xml:space="preserve">minor in nature and </w:t>
      </w:r>
      <w:r w:rsidRPr="00642D1E">
        <w:t>no</w:t>
      </w:r>
      <w:r w:rsidRPr="008F4BDF">
        <w:t xml:space="preserve"> potential public health and safety concerns have been identified</w:t>
      </w:r>
      <w:r>
        <w:t>.</w:t>
      </w:r>
    </w:p>
    <w:p w14:paraId="14166B33" w14:textId="1B74E077" w:rsidR="00022DBC" w:rsidRPr="00914030" w:rsidRDefault="00B51E03" w:rsidP="00B51E03">
      <w:pPr>
        <w:pStyle w:val="Heading3"/>
      </w:pPr>
      <w:bookmarkStart w:id="56" w:name="_Toc300761901"/>
      <w:bookmarkStart w:id="57" w:name="_Toc300933444"/>
      <w:bookmarkStart w:id="58" w:name="_Toc125028814"/>
      <w:r>
        <w:t>2.</w:t>
      </w:r>
      <w:r w:rsidR="00DA7D83">
        <w:t>4</w:t>
      </w:r>
      <w:r>
        <w:t>.3</w:t>
      </w:r>
      <w:r w:rsidR="00022DBC" w:rsidRPr="00914030">
        <w:tab/>
        <w:t xml:space="preserve">Subsection 18(2) </w:t>
      </w:r>
      <w:bookmarkEnd w:id="56"/>
      <w:bookmarkEnd w:id="57"/>
      <w:r w:rsidR="00022DBC" w:rsidRPr="00914030">
        <w:t>considerations</w:t>
      </w:r>
      <w:bookmarkEnd w:id="58"/>
    </w:p>
    <w:p w14:paraId="02DEDC6E" w14:textId="77777777" w:rsidR="00FB4DFB" w:rsidRPr="00914030" w:rsidRDefault="00FB4DFB" w:rsidP="00FB4DFB">
      <w:pPr>
        <w:rPr>
          <w:rFonts w:cs="Arial"/>
        </w:rPr>
      </w:pPr>
      <w:r w:rsidRPr="00914030">
        <w:rPr>
          <w:rFonts w:cs="Arial"/>
        </w:rPr>
        <w:t>FSANZ has also had regard to:</w:t>
      </w:r>
    </w:p>
    <w:p w14:paraId="3ABB0DF3" w14:textId="77777777" w:rsidR="00FB4DFB" w:rsidRPr="00914030" w:rsidRDefault="00FB4DFB" w:rsidP="00FB4DFB">
      <w:pPr>
        <w:rPr>
          <w:rFonts w:cs="Arial"/>
        </w:rPr>
      </w:pPr>
    </w:p>
    <w:p w14:paraId="351300A4" w14:textId="77777777" w:rsidR="00FB4DFB" w:rsidRPr="00D45BC3" w:rsidRDefault="00FB4DFB" w:rsidP="00FB4DFB">
      <w:pPr>
        <w:pStyle w:val="FSBullet1"/>
      </w:pPr>
      <w:r w:rsidRPr="00D45BC3">
        <w:t>the need for standards to be based on risk analysis using the best available scientific evidence</w:t>
      </w:r>
    </w:p>
    <w:p w14:paraId="350C6A7F" w14:textId="77777777" w:rsidR="00FB4DFB" w:rsidRPr="00D45BC3" w:rsidRDefault="00FB4DFB" w:rsidP="00FB4DFB">
      <w:pPr>
        <w:pStyle w:val="FSBullet1"/>
      </w:pPr>
      <w:r w:rsidRPr="00D45BC3">
        <w:t>the desirability of an efficient and internationally competitive food industry</w:t>
      </w:r>
    </w:p>
    <w:p w14:paraId="385E5896" w14:textId="77777777" w:rsidR="00FB4DFB" w:rsidRPr="00D45BC3" w:rsidRDefault="00FB4DFB" w:rsidP="00FB4DFB">
      <w:pPr>
        <w:pStyle w:val="FSBullet1"/>
      </w:pPr>
      <w:r w:rsidRPr="00D45BC3">
        <w:t>the promotion of fair trading in food</w:t>
      </w:r>
    </w:p>
    <w:p w14:paraId="16795327" w14:textId="77777777" w:rsidR="00FB4DFB" w:rsidRPr="00D45BC3" w:rsidRDefault="00FB4DFB" w:rsidP="00FB4DFB">
      <w:pPr>
        <w:pStyle w:val="FSBullet1"/>
      </w:pPr>
      <w:r w:rsidRPr="00D45BC3">
        <w:t xml:space="preserve">any written policy guidelines formulated by the </w:t>
      </w:r>
      <w:r>
        <w:t>Forum on Food Regulation</w:t>
      </w:r>
      <w:r w:rsidRPr="00D45BC3">
        <w:t>.</w:t>
      </w:r>
    </w:p>
    <w:p w14:paraId="097B800F" w14:textId="77777777" w:rsidR="00E520FE" w:rsidRDefault="00E520FE" w:rsidP="00DD3C5E"/>
    <w:p w14:paraId="61EC7FE3" w14:textId="62A87688" w:rsidR="005F7342" w:rsidRPr="004900B6" w:rsidRDefault="00867B23" w:rsidP="00E203C2">
      <w:pPr>
        <w:pStyle w:val="Heading1"/>
      </w:pPr>
      <w:bookmarkStart w:id="59" w:name="_Toc286391014"/>
      <w:bookmarkStart w:id="60" w:name="_Toc175381455"/>
      <w:bookmarkStart w:id="61" w:name="_Toc300933445"/>
      <w:bookmarkStart w:id="62" w:name="_Toc125028815"/>
      <w:bookmarkEnd w:id="24"/>
      <w:bookmarkEnd w:id="25"/>
      <w:bookmarkEnd w:id="26"/>
      <w:bookmarkEnd w:id="27"/>
      <w:bookmarkEnd w:id="28"/>
      <w:bookmarkEnd w:id="29"/>
      <w:bookmarkEnd w:id="42"/>
      <w:r>
        <w:t>3</w:t>
      </w:r>
      <w:r w:rsidR="00F604DE">
        <w:tab/>
      </w:r>
      <w:bookmarkEnd w:id="59"/>
      <w:bookmarkEnd w:id="60"/>
      <w:bookmarkEnd w:id="61"/>
      <w:r w:rsidR="00D14405">
        <w:t xml:space="preserve">Draft </w:t>
      </w:r>
      <w:r w:rsidR="00D14405" w:rsidRPr="004900B6">
        <w:t>variation</w:t>
      </w:r>
      <w:bookmarkEnd w:id="62"/>
    </w:p>
    <w:p w14:paraId="48F30965" w14:textId="73D835A4" w:rsidR="00D209C9" w:rsidRPr="004900B6" w:rsidRDefault="00D209C9" w:rsidP="00D209C9">
      <w:r w:rsidRPr="004900B6">
        <w:t xml:space="preserve">The draft variation to the Code is at Attachment A and is intended to take effect on </w:t>
      </w:r>
      <w:r w:rsidR="000564DE" w:rsidRPr="004900B6">
        <w:t>gazettal</w:t>
      </w:r>
      <w:r w:rsidRPr="004900B6">
        <w:t>.</w:t>
      </w:r>
    </w:p>
    <w:p w14:paraId="2EBC510B" w14:textId="77777777" w:rsidR="00D209C9" w:rsidRPr="001E1FAB" w:rsidRDefault="00D209C9" w:rsidP="00D209C9">
      <w:pPr>
        <w:rPr>
          <w:color w:val="000000" w:themeColor="text1"/>
        </w:rPr>
      </w:pPr>
    </w:p>
    <w:p w14:paraId="1D208B1C" w14:textId="0D525255" w:rsidR="00D26814" w:rsidRPr="00924C80" w:rsidRDefault="002C4A91" w:rsidP="002432EE">
      <w:pPr>
        <w:rPr>
          <w:rFonts w:cs="Arial"/>
          <w:color w:val="FF0000"/>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bookmarkStart w:id="63" w:name="_Toc11735643"/>
      <w:bookmarkStart w:id="64" w:name="_Toc29883130"/>
      <w:bookmarkStart w:id="65" w:name="_Toc41906817"/>
      <w:bookmarkStart w:id="66" w:name="_Toc41907564"/>
      <w:bookmarkStart w:id="67" w:name="_Toc43112360"/>
    </w:p>
    <w:bookmarkEnd w:id="63"/>
    <w:bookmarkEnd w:id="64"/>
    <w:bookmarkEnd w:id="65"/>
    <w:bookmarkEnd w:id="66"/>
    <w:bookmarkEnd w:id="67"/>
    <w:p w14:paraId="4D2D64AE"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617C52A8" w14:textId="77777777" w:rsidR="00A4175D" w:rsidRPr="00E203C2" w:rsidRDefault="00A4175D" w:rsidP="00AF06FC"/>
    <w:p w14:paraId="797BE300" w14:textId="25359A72" w:rsidR="00AB0275" w:rsidRDefault="00AB0275" w:rsidP="00AB0275">
      <w:pPr>
        <w:ind w:left="567" w:hanging="567"/>
      </w:pPr>
      <w:r>
        <w:t>A.</w:t>
      </w:r>
      <w:r>
        <w:tab/>
      </w:r>
      <w:r w:rsidR="00D2071E">
        <w:t>D</w:t>
      </w:r>
      <w:r>
        <w:t>raft variation to the</w:t>
      </w:r>
      <w:r w:rsidR="002C4A91">
        <w:t xml:space="preserve"> </w:t>
      </w:r>
      <w:r w:rsidRPr="00677545">
        <w:rPr>
          <w:iCs/>
        </w:rPr>
        <w:t>Australia New Zealand Food Standards Code</w:t>
      </w:r>
      <w:r w:rsidR="002C4A91">
        <w:t xml:space="preserve"> </w:t>
      </w:r>
    </w:p>
    <w:p w14:paraId="11314882" w14:textId="2C5D1359" w:rsidR="00D60568" w:rsidRPr="00E203C2" w:rsidRDefault="00AB0275" w:rsidP="00771633">
      <w:pPr>
        <w:ind w:left="567" w:hanging="567"/>
      </w:pPr>
      <w:r w:rsidRPr="00456BD5">
        <w:t>B.</w:t>
      </w:r>
      <w:r w:rsidRPr="00456BD5">
        <w:tab/>
      </w:r>
      <w:r w:rsidR="002C4A91">
        <w:t xml:space="preserve">Draft </w:t>
      </w:r>
      <w:r>
        <w:t xml:space="preserve">Explanatory Statement </w:t>
      </w:r>
    </w:p>
    <w:p w14:paraId="2AB75907" w14:textId="7CB742D8" w:rsidR="00AB0275" w:rsidRPr="00456BD5" w:rsidRDefault="00AB0275" w:rsidP="00AB0275">
      <w:pPr>
        <w:pStyle w:val="Heading2"/>
        <w:ind w:left="0" w:firstLine="0"/>
      </w:pPr>
      <w:bookmarkStart w:id="68" w:name="_Toc300933454"/>
      <w:r w:rsidRPr="00932F14">
        <w:br w:type="page"/>
      </w:r>
      <w:bookmarkStart w:id="69" w:name="_Toc29883131"/>
      <w:bookmarkStart w:id="70" w:name="_Toc41906818"/>
      <w:bookmarkStart w:id="71" w:name="_Toc41907565"/>
      <w:bookmarkStart w:id="72" w:name="_Toc120358596"/>
      <w:bookmarkStart w:id="73" w:name="_Toc175381458"/>
      <w:bookmarkStart w:id="74" w:name="_Toc11735644"/>
      <w:bookmarkStart w:id="75" w:name="_Toc415572037"/>
      <w:bookmarkStart w:id="76" w:name="_Toc125028816"/>
      <w:r w:rsidRPr="00932F14">
        <w:lastRenderedPageBreak/>
        <w:t xml:space="preserve">Attachment </w:t>
      </w:r>
      <w:bookmarkEnd w:id="69"/>
      <w:bookmarkEnd w:id="70"/>
      <w:bookmarkEnd w:id="71"/>
      <w:bookmarkEnd w:id="72"/>
      <w:bookmarkEnd w:id="73"/>
      <w:r>
        <w:t>A</w:t>
      </w:r>
      <w:bookmarkStart w:id="77" w:name="_Toc120358597"/>
      <w:bookmarkStart w:id="78" w:name="_Toc175381459"/>
      <w:bookmarkEnd w:id="74"/>
      <w:r>
        <w:t xml:space="preserve"> –</w:t>
      </w:r>
      <w:r w:rsidR="00CA3C65">
        <w:t xml:space="preserve"> </w:t>
      </w:r>
      <w:bookmarkStart w:id="79" w:name="_Toc415572039"/>
      <w:bookmarkEnd w:id="68"/>
      <w:bookmarkEnd w:id="75"/>
      <w:bookmarkEnd w:id="77"/>
      <w:bookmarkEnd w:id="78"/>
      <w:r w:rsidR="00CA3C65">
        <w:t>D</w:t>
      </w:r>
      <w:r>
        <w:t xml:space="preserve">raft </w:t>
      </w:r>
      <w:r w:rsidRPr="00932F14">
        <w:t>variation to the</w:t>
      </w:r>
      <w:r w:rsidRPr="00755F02">
        <w:t xml:space="preserve"> </w:t>
      </w:r>
      <w:r w:rsidRPr="00325B5C">
        <w:rPr>
          <w:iCs/>
        </w:rPr>
        <w:t>Australia New Zealand Food Standards Code</w:t>
      </w:r>
      <w:bookmarkEnd w:id="76"/>
      <w:r>
        <w:rPr>
          <w:i/>
        </w:rPr>
        <w:t xml:space="preserve"> </w:t>
      </w:r>
      <w:bookmarkEnd w:id="79"/>
    </w:p>
    <w:p w14:paraId="3CC4E2E9" w14:textId="77777777" w:rsidR="005D30DA" w:rsidRPr="005D30DA" w:rsidRDefault="005D30DA" w:rsidP="005D30DA">
      <w:pPr>
        <w:tabs>
          <w:tab w:val="left" w:pos="851"/>
        </w:tabs>
        <w:rPr>
          <w:noProof/>
          <w:sz w:val="20"/>
          <w:szCs w:val="20"/>
          <w:lang w:val="en-AU" w:eastAsia="en-AU" w:bidi="ar-SA"/>
        </w:rPr>
      </w:pPr>
      <w:r w:rsidRPr="005D30DA">
        <w:rPr>
          <w:noProof/>
          <w:color w:val="2B579A"/>
          <w:sz w:val="20"/>
          <w:szCs w:val="20"/>
          <w:shd w:val="clear" w:color="auto" w:fill="E6E6E6"/>
          <w:lang w:val="en-AU" w:eastAsia="en-AU" w:bidi="ar-SA"/>
        </w:rPr>
        <w:drawing>
          <wp:inline distT="0" distB="0" distL="0" distR="0" wp14:anchorId="6E61D9AE" wp14:editId="3AE8CF17">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841CADA" w14:textId="77777777" w:rsidR="005D30DA" w:rsidRPr="005D30DA" w:rsidRDefault="005D30DA" w:rsidP="005D30DA">
      <w:pPr>
        <w:pBdr>
          <w:bottom w:val="single" w:sz="4" w:space="1" w:color="auto"/>
        </w:pBdr>
        <w:tabs>
          <w:tab w:val="left" w:pos="851"/>
        </w:tabs>
        <w:rPr>
          <w:b/>
          <w:bCs/>
          <w:szCs w:val="20"/>
          <w:lang w:bidi="ar-SA"/>
        </w:rPr>
      </w:pPr>
    </w:p>
    <w:p w14:paraId="3F0FEE9A" w14:textId="77777777" w:rsidR="005D30DA" w:rsidRPr="005D30DA" w:rsidRDefault="005D30DA" w:rsidP="005D30DA">
      <w:pPr>
        <w:pBdr>
          <w:bottom w:val="single" w:sz="4" w:space="1" w:color="auto"/>
        </w:pBdr>
        <w:tabs>
          <w:tab w:val="left" w:pos="851"/>
        </w:tabs>
        <w:rPr>
          <w:b/>
          <w:sz w:val="20"/>
          <w:szCs w:val="20"/>
          <w:lang w:bidi="ar-SA"/>
        </w:rPr>
      </w:pPr>
      <w:r w:rsidRPr="00D8156C">
        <w:rPr>
          <w:b/>
          <w:sz w:val="20"/>
          <w:szCs w:val="20"/>
          <w:lang w:bidi="ar-SA"/>
        </w:rPr>
        <w:t>Food Standards (Proposal P1061– Code Revision (2023)) Variation</w:t>
      </w:r>
    </w:p>
    <w:p w14:paraId="614168E1" w14:textId="77777777" w:rsidR="005D30DA" w:rsidRPr="005D30DA" w:rsidRDefault="005D30DA" w:rsidP="005D30DA">
      <w:pPr>
        <w:pBdr>
          <w:bottom w:val="single" w:sz="4" w:space="1" w:color="auto"/>
        </w:pBdr>
        <w:tabs>
          <w:tab w:val="left" w:pos="851"/>
        </w:tabs>
        <w:rPr>
          <w:b/>
          <w:sz w:val="20"/>
          <w:szCs w:val="20"/>
          <w:lang w:bidi="ar-SA"/>
        </w:rPr>
      </w:pPr>
    </w:p>
    <w:p w14:paraId="25615EE6" w14:textId="77777777" w:rsidR="005D30DA" w:rsidRPr="005D30DA" w:rsidRDefault="005D30DA" w:rsidP="005D30DA">
      <w:pPr>
        <w:tabs>
          <w:tab w:val="left" w:pos="851"/>
        </w:tabs>
        <w:rPr>
          <w:sz w:val="20"/>
          <w:szCs w:val="20"/>
          <w:lang w:bidi="ar-SA"/>
        </w:rPr>
      </w:pPr>
    </w:p>
    <w:p w14:paraId="23826B42" w14:textId="77777777" w:rsidR="005D30DA" w:rsidRPr="005D30DA" w:rsidRDefault="005D30DA" w:rsidP="005D30DA">
      <w:pPr>
        <w:tabs>
          <w:tab w:val="left" w:pos="851"/>
        </w:tabs>
        <w:rPr>
          <w:sz w:val="20"/>
          <w:szCs w:val="20"/>
          <w:lang w:bidi="ar-SA"/>
        </w:rPr>
      </w:pPr>
      <w:r w:rsidRPr="005D30DA">
        <w:rPr>
          <w:sz w:val="20"/>
          <w:szCs w:val="20"/>
          <w:lang w:bidi="ar-SA"/>
        </w:rPr>
        <w:t xml:space="preserve">The Board of Food Standards Australia New Zealand gives notice of the making of this variation under section 92 of the </w:t>
      </w:r>
      <w:r w:rsidRPr="005D30DA">
        <w:rPr>
          <w:i/>
          <w:sz w:val="20"/>
          <w:szCs w:val="20"/>
          <w:lang w:bidi="ar-SA"/>
        </w:rPr>
        <w:t>Food Standards Australia New Zealand Act 1991</w:t>
      </w:r>
      <w:r w:rsidRPr="005D30DA">
        <w:rPr>
          <w:sz w:val="20"/>
          <w:szCs w:val="20"/>
          <w:lang w:bidi="ar-SA"/>
        </w:rPr>
        <w:t>.  The variation commences on the date specified in clause 3 of this variation.</w:t>
      </w:r>
    </w:p>
    <w:p w14:paraId="5D598450" w14:textId="77777777" w:rsidR="005D30DA" w:rsidRPr="005D30DA" w:rsidRDefault="005D30DA" w:rsidP="005D30DA">
      <w:pPr>
        <w:tabs>
          <w:tab w:val="left" w:pos="851"/>
        </w:tabs>
        <w:rPr>
          <w:sz w:val="20"/>
          <w:szCs w:val="20"/>
          <w:lang w:bidi="ar-SA"/>
        </w:rPr>
      </w:pPr>
    </w:p>
    <w:p w14:paraId="4E35D9E3" w14:textId="77777777" w:rsidR="005D30DA" w:rsidRPr="005D30DA" w:rsidRDefault="005D30DA" w:rsidP="005D30DA">
      <w:pPr>
        <w:tabs>
          <w:tab w:val="left" w:pos="851"/>
        </w:tabs>
        <w:rPr>
          <w:sz w:val="20"/>
          <w:szCs w:val="20"/>
          <w:lang w:bidi="ar-SA"/>
        </w:rPr>
      </w:pPr>
      <w:r w:rsidRPr="005D30DA">
        <w:rPr>
          <w:sz w:val="20"/>
          <w:szCs w:val="20"/>
          <w:lang w:bidi="ar-SA"/>
        </w:rPr>
        <w:t xml:space="preserve">Dated </w:t>
      </w:r>
      <w:r w:rsidRPr="005D30DA">
        <w:rPr>
          <w:color w:val="FF0000"/>
          <w:sz w:val="20"/>
          <w:szCs w:val="20"/>
          <w:lang w:bidi="ar-SA"/>
        </w:rPr>
        <w:t>[To be completed by Delegate]</w:t>
      </w:r>
    </w:p>
    <w:p w14:paraId="02F4B7BB" w14:textId="77777777" w:rsidR="005D30DA" w:rsidRPr="005D30DA" w:rsidRDefault="005D30DA" w:rsidP="005D30DA">
      <w:pPr>
        <w:tabs>
          <w:tab w:val="left" w:pos="851"/>
        </w:tabs>
        <w:rPr>
          <w:sz w:val="20"/>
          <w:szCs w:val="20"/>
          <w:lang w:bidi="ar-SA"/>
        </w:rPr>
      </w:pPr>
    </w:p>
    <w:p w14:paraId="01392162" w14:textId="77777777" w:rsidR="005D30DA" w:rsidRPr="005D30DA" w:rsidRDefault="005D30DA" w:rsidP="005D30DA">
      <w:pPr>
        <w:tabs>
          <w:tab w:val="left" w:pos="851"/>
        </w:tabs>
        <w:rPr>
          <w:sz w:val="20"/>
          <w:szCs w:val="20"/>
          <w:lang w:bidi="ar-SA"/>
        </w:rPr>
      </w:pPr>
    </w:p>
    <w:p w14:paraId="07C252AC" w14:textId="77777777" w:rsidR="005D30DA" w:rsidRPr="005D30DA" w:rsidRDefault="005D30DA" w:rsidP="005D30DA">
      <w:pPr>
        <w:tabs>
          <w:tab w:val="left" w:pos="851"/>
        </w:tabs>
        <w:rPr>
          <w:sz w:val="20"/>
          <w:szCs w:val="20"/>
          <w:lang w:bidi="ar-SA"/>
        </w:rPr>
      </w:pPr>
    </w:p>
    <w:p w14:paraId="44EA3F15" w14:textId="77777777" w:rsidR="005D30DA" w:rsidRPr="005D30DA" w:rsidRDefault="005D30DA" w:rsidP="005D30DA">
      <w:pPr>
        <w:tabs>
          <w:tab w:val="left" w:pos="851"/>
        </w:tabs>
        <w:rPr>
          <w:sz w:val="20"/>
          <w:szCs w:val="20"/>
          <w:lang w:bidi="ar-SA"/>
        </w:rPr>
      </w:pPr>
    </w:p>
    <w:p w14:paraId="6982F4F4" w14:textId="77777777" w:rsidR="005D30DA" w:rsidRPr="005D30DA" w:rsidRDefault="005D30DA" w:rsidP="005D30DA">
      <w:pPr>
        <w:tabs>
          <w:tab w:val="left" w:pos="851"/>
        </w:tabs>
        <w:rPr>
          <w:sz w:val="20"/>
          <w:szCs w:val="20"/>
          <w:lang w:bidi="ar-SA"/>
        </w:rPr>
      </w:pPr>
    </w:p>
    <w:p w14:paraId="5FFC2F5F" w14:textId="77777777" w:rsidR="005D30DA" w:rsidRPr="005D30DA" w:rsidRDefault="005D30DA" w:rsidP="005D30DA">
      <w:pPr>
        <w:tabs>
          <w:tab w:val="left" w:pos="851"/>
        </w:tabs>
        <w:rPr>
          <w:color w:val="FF0000"/>
          <w:sz w:val="20"/>
          <w:szCs w:val="20"/>
          <w:lang w:bidi="ar-SA"/>
        </w:rPr>
      </w:pPr>
      <w:r w:rsidRPr="005D30DA">
        <w:rPr>
          <w:color w:val="FF0000"/>
          <w:sz w:val="20"/>
          <w:szCs w:val="20"/>
          <w:lang w:bidi="ar-SA"/>
        </w:rPr>
        <w:t>[Insert name of Delegate]</w:t>
      </w:r>
    </w:p>
    <w:p w14:paraId="68B23D94" w14:textId="77777777" w:rsidR="005D30DA" w:rsidRPr="005D30DA" w:rsidRDefault="005D30DA" w:rsidP="005D30DA">
      <w:pPr>
        <w:tabs>
          <w:tab w:val="left" w:pos="851"/>
        </w:tabs>
        <w:rPr>
          <w:sz w:val="20"/>
          <w:szCs w:val="20"/>
          <w:lang w:bidi="ar-SA"/>
        </w:rPr>
      </w:pPr>
      <w:r w:rsidRPr="005D30DA">
        <w:rPr>
          <w:sz w:val="20"/>
          <w:szCs w:val="20"/>
          <w:lang w:bidi="ar-SA"/>
        </w:rPr>
        <w:t>Delegate of the Board of Food Standards Australia New Zealand</w:t>
      </w:r>
    </w:p>
    <w:p w14:paraId="18F15074" w14:textId="77777777" w:rsidR="005D30DA" w:rsidRPr="005D30DA" w:rsidRDefault="005D30DA" w:rsidP="005D30DA">
      <w:pPr>
        <w:tabs>
          <w:tab w:val="left" w:pos="851"/>
        </w:tabs>
        <w:rPr>
          <w:sz w:val="20"/>
          <w:szCs w:val="20"/>
          <w:lang w:bidi="ar-SA"/>
        </w:rPr>
      </w:pPr>
    </w:p>
    <w:p w14:paraId="7CA82503" w14:textId="77777777" w:rsidR="005D30DA" w:rsidRPr="005D30DA" w:rsidRDefault="005D30DA" w:rsidP="005D30DA">
      <w:pPr>
        <w:tabs>
          <w:tab w:val="left" w:pos="851"/>
        </w:tabs>
        <w:rPr>
          <w:sz w:val="20"/>
          <w:szCs w:val="20"/>
          <w:lang w:bidi="ar-SA"/>
        </w:rPr>
      </w:pPr>
    </w:p>
    <w:p w14:paraId="59A0F11B" w14:textId="77777777" w:rsidR="005D30DA" w:rsidRPr="005D30DA" w:rsidRDefault="005D30DA" w:rsidP="005D30DA">
      <w:pPr>
        <w:tabs>
          <w:tab w:val="left" w:pos="851"/>
        </w:tabs>
        <w:rPr>
          <w:sz w:val="20"/>
          <w:szCs w:val="20"/>
          <w:lang w:bidi="ar-SA"/>
        </w:rPr>
      </w:pPr>
    </w:p>
    <w:p w14:paraId="0E4E6CF5" w14:textId="77777777" w:rsidR="005D30DA" w:rsidRPr="005D30DA" w:rsidRDefault="005D30DA" w:rsidP="005D30DA">
      <w:pPr>
        <w:tabs>
          <w:tab w:val="left" w:pos="851"/>
        </w:tabs>
        <w:rPr>
          <w:sz w:val="20"/>
          <w:szCs w:val="20"/>
          <w:lang w:bidi="ar-SA"/>
        </w:rPr>
      </w:pPr>
    </w:p>
    <w:p w14:paraId="71B6A5CD" w14:textId="77777777" w:rsidR="005D30DA" w:rsidRPr="005D30DA" w:rsidRDefault="005D30DA" w:rsidP="005D30DA">
      <w:pPr>
        <w:tabs>
          <w:tab w:val="left" w:pos="851"/>
        </w:tabs>
        <w:rPr>
          <w:sz w:val="20"/>
          <w:szCs w:val="20"/>
          <w:lang w:bidi="ar-SA"/>
        </w:rPr>
      </w:pPr>
    </w:p>
    <w:p w14:paraId="0703AF86" w14:textId="77777777" w:rsidR="005D30DA" w:rsidRPr="005D30DA" w:rsidRDefault="005D30DA" w:rsidP="005D30DA">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5D30DA">
        <w:rPr>
          <w:b/>
          <w:sz w:val="20"/>
          <w:szCs w:val="20"/>
          <w:lang w:val="en-AU" w:bidi="ar-SA"/>
        </w:rPr>
        <w:t xml:space="preserve">Note:  </w:t>
      </w:r>
    </w:p>
    <w:p w14:paraId="33715982" w14:textId="77777777" w:rsidR="005D30DA" w:rsidRPr="005D30DA" w:rsidRDefault="005D30DA" w:rsidP="005D30DA">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1E83A20D" w14:textId="77777777" w:rsidR="005D30DA" w:rsidRPr="005D30DA" w:rsidRDefault="005D30DA" w:rsidP="005D30DA">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5D30DA">
        <w:rPr>
          <w:sz w:val="20"/>
          <w:szCs w:val="20"/>
          <w:lang w:val="en-AU" w:bidi="ar-SA"/>
        </w:rPr>
        <w:t xml:space="preserve">This variation will be published in the Commonwealth of Australia Gazette No. FSC </w:t>
      </w:r>
      <w:r w:rsidRPr="005D30DA">
        <w:rPr>
          <w:color w:val="FF0000"/>
          <w:sz w:val="20"/>
          <w:szCs w:val="20"/>
          <w:lang w:val="en-AU" w:bidi="ar-SA"/>
        </w:rPr>
        <w:t>XX on XX Month 20XX</w:t>
      </w:r>
      <w:r w:rsidRPr="005D30DA">
        <w:rPr>
          <w:sz w:val="20"/>
          <w:szCs w:val="20"/>
          <w:lang w:val="en-AU" w:bidi="ar-SA"/>
        </w:rPr>
        <w:t xml:space="preserve">. This means that this date is the gazettal date for the purposes of clause 3 of the variation. </w:t>
      </w:r>
    </w:p>
    <w:p w14:paraId="3AEC8DB0" w14:textId="77777777" w:rsidR="005D30DA" w:rsidRPr="005D30DA" w:rsidRDefault="005D30DA" w:rsidP="005D30DA">
      <w:pPr>
        <w:tabs>
          <w:tab w:val="left" w:pos="851"/>
        </w:tabs>
        <w:rPr>
          <w:sz w:val="20"/>
          <w:szCs w:val="20"/>
          <w:lang w:bidi="ar-SA"/>
        </w:rPr>
      </w:pPr>
    </w:p>
    <w:p w14:paraId="20045EEC" w14:textId="77777777" w:rsidR="005D30DA" w:rsidRPr="005D30DA" w:rsidRDefault="005D30DA" w:rsidP="005D30DA">
      <w:pPr>
        <w:widowControl/>
        <w:rPr>
          <w:sz w:val="20"/>
          <w:szCs w:val="20"/>
          <w:lang w:bidi="ar-SA"/>
        </w:rPr>
      </w:pPr>
      <w:r w:rsidRPr="005D30DA">
        <w:rPr>
          <w:sz w:val="20"/>
          <w:szCs w:val="20"/>
          <w:lang w:bidi="ar-SA"/>
        </w:rPr>
        <w:br w:type="page"/>
      </w:r>
    </w:p>
    <w:p w14:paraId="62BA503C" w14:textId="77777777" w:rsidR="005D30DA" w:rsidRPr="005D30DA" w:rsidRDefault="005D30DA" w:rsidP="00707532">
      <w:pPr>
        <w:pStyle w:val="FSCDraftingitemheading"/>
      </w:pPr>
      <w:r w:rsidRPr="005D30DA">
        <w:lastRenderedPageBreak/>
        <w:t>1</w:t>
      </w:r>
      <w:r w:rsidRPr="005D30DA">
        <w:tab/>
        <w:t>Name</w:t>
      </w:r>
    </w:p>
    <w:p w14:paraId="20A4F919" w14:textId="10BE50DE" w:rsidR="005D30DA" w:rsidRPr="005D30DA" w:rsidRDefault="005D30DA" w:rsidP="00707532">
      <w:pPr>
        <w:pStyle w:val="FSCDraftingitem"/>
      </w:pPr>
      <w:r w:rsidRPr="005D30DA">
        <w:t xml:space="preserve">This instrument is the </w:t>
      </w:r>
      <w:r w:rsidRPr="00A13B3F">
        <w:rPr>
          <w:i/>
          <w:iCs/>
        </w:rPr>
        <w:t>Food Standards (Proposal P1061 – Code Revision (2023))</w:t>
      </w:r>
      <w:r w:rsidR="00F217EA" w:rsidRPr="00A13B3F">
        <w:rPr>
          <w:i/>
          <w:iCs/>
        </w:rPr>
        <w:t xml:space="preserve"> </w:t>
      </w:r>
      <w:r w:rsidRPr="00A13B3F">
        <w:rPr>
          <w:i/>
          <w:iCs/>
        </w:rPr>
        <w:t>Variation</w:t>
      </w:r>
      <w:r w:rsidRPr="005D30DA">
        <w:t>.</w:t>
      </w:r>
    </w:p>
    <w:p w14:paraId="73F4EBC0" w14:textId="77777777" w:rsidR="005D30DA" w:rsidRPr="005D30DA" w:rsidRDefault="005D30DA" w:rsidP="00707532">
      <w:pPr>
        <w:pStyle w:val="FSCDraftingitemheading"/>
      </w:pPr>
      <w:r w:rsidRPr="005D30DA">
        <w:t>2</w:t>
      </w:r>
      <w:r w:rsidRPr="005D30DA">
        <w:tab/>
        <w:t xml:space="preserve">Variation to Standards in the </w:t>
      </w:r>
      <w:r w:rsidRPr="007E4CE4">
        <w:rPr>
          <w:i/>
          <w:iCs/>
        </w:rPr>
        <w:t>Australia New Zealand Food Standards Code</w:t>
      </w:r>
    </w:p>
    <w:p w14:paraId="16052362" w14:textId="77777777" w:rsidR="005D30DA" w:rsidRPr="005D30DA" w:rsidRDefault="005D30DA" w:rsidP="00707532">
      <w:pPr>
        <w:pStyle w:val="FSCDraftingitem"/>
      </w:pPr>
      <w:r w:rsidRPr="005D30DA">
        <w:t xml:space="preserve">The Schedule varies Standards in the </w:t>
      </w:r>
      <w:r w:rsidRPr="005D30DA">
        <w:rPr>
          <w:i/>
        </w:rPr>
        <w:t>Australia New Zealand Food Standards Code</w:t>
      </w:r>
      <w:r w:rsidRPr="005D30DA">
        <w:t>.</w:t>
      </w:r>
    </w:p>
    <w:p w14:paraId="5E2B192D" w14:textId="77777777" w:rsidR="005D30DA" w:rsidRPr="005D30DA" w:rsidRDefault="005D30DA" w:rsidP="00707532">
      <w:pPr>
        <w:pStyle w:val="FSCDraftingitemheading"/>
      </w:pPr>
      <w:r w:rsidRPr="005D30DA">
        <w:t>3</w:t>
      </w:r>
      <w:r w:rsidRPr="005D30DA">
        <w:tab/>
        <w:t>Commencement</w:t>
      </w:r>
    </w:p>
    <w:p w14:paraId="3671C47E" w14:textId="77777777" w:rsidR="005D30DA" w:rsidRPr="005D30DA" w:rsidRDefault="005D30DA" w:rsidP="00707532">
      <w:pPr>
        <w:pStyle w:val="FSCDraftingitem"/>
      </w:pPr>
      <w:r w:rsidRPr="005D30DA">
        <w:t>The variation commences on the date of gazettal.</w:t>
      </w:r>
    </w:p>
    <w:p w14:paraId="458BD3E4" w14:textId="77777777" w:rsidR="005D30DA" w:rsidRPr="005D30DA" w:rsidRDefault="005D30DA" w:rsidP="005D30DA">
      <w:pPr>
        <w:tabs>
          <w:tab w:val="left" w:pos="851"/>
        </w:tabs>
        <w:jc w:val="center"/>
        <w:rPr>
          <w:b/>
          <w:sz w:val="20"/>
          <w:szCs w:val="20"/>
          <w:lang w:bidi="ar-SA"/>
        </w:rPr>
      </w:pPr>
      <w:r w:rsidRPr="005D30DA">
        <w:rPr>
          <w:b/>
          <w:sz w:val="20"/>
          <w:szCs w:val="20"/>
          <w:lang w:bidi="ar-SA"/>
        </w:rPr>
        <w:t>Schedule</w:t>
      </w:r>
    </w:p>
    <w:p w14:paraId="204C9B8F" w14:textId="77777777" w:rsidR="005D30DA" w:rsidRPr="005D30DA" w:rsidRDefault="005D30DA" w:rsidP="00707532">
      <w:pPr>
        <w:pStyle w:val="FSCDraftingitemheading"/>
        <w:rPr>
          <w:lang w:eastAsia="en-AU"/>
        </w:rPr>
      </w:pPr>
      <w:r w:rsidRPr="005D30DA">
        <w:rPr>
          <w:lang w:eastAsia="en-AU"/>
        </w:rPr>
        <w:t xml:space="preserve">Standard 1.1.1 – </w:t>
      </w:r>
      <w:r w:rsidRPr="005D30DA">
        <w:t>Structure</w:t>
      </w:r>
      <w:r w:rsidRPr="005D30DA">
        <w:rPr>
          <w:lang w:eastAsia="en-AU"/>
        </w:rPr>
        <w:t xml:space="preserve"> of the Code and general provisions </w:t>
      </w:r>
    </w:p>
    <w:p w14:paraId="35F88C99" w14:textId="77777777" w:rsidR="005D30DA" w:rsidRPr="005D30DA" w:rsidRDefault="005D30DA" w:rsidP="00707532">
      <w:pPr>
        <w:pStyle w:val="FSCDraftingitemheading"/>
      </w:pPr>
      <w:r w:rsidRPr="005D30DA">
        <w:t>[1]</w:t>
      </w:r>
      <w:r w:rsidRPr="005D30DA">
        <w:tab/>
        <w:t>Section 1.1.1—3 (Note 1, subparagraph (iii))</w:t>
      </w:r>
    </w:p>
    <w:p w14:paraId="1B36A6A5" w14:textId="77777777" w:rsidR="005D30DA" w:rsidRPr="005D30DA" w:rsidRDefault="005D30DA" w:rsidP="00707532">
      <w:pPr>
        <w:pStyle w:val="FSCDraftingitem"/>
      </w:pPr>
      <w:r w:rsidRPr="005D30DA">
        <w:tab/>
        <w:t>Repeal the subparagraph, substitute</w:t>
      </w:r>
    </w:p>
    <w:p w14:paraId="1AA3D259" w14:textId="35A2F518" w:rsidR="005D30DA" w:rsidRPr="005D30DA" w:rsidRDefault="005D30DA" w:rsidP="00086BCA">
      <w:pPr>
        <w:pStyle w:val="FSCnSubpara"/>
      </w:pPr>
      <w:r w:rsidRPr="005D30DA">
        <w:tab/>
      </w:r>
      <w:r w:rsidR="001D174F">
        <w:t xml:space="preserve">        </w:t>
      </w:r>
      <w:r w:rsidRPr="005D30DA">
        <w:t>(iii)</w:t>
      </w:r>
      <w:r w:rsidR="001D174F">
        <w:t xml:space="preserve">   </w:t>
      </w:r>
      <w:r w:rsidRPr="005D30DA">
        <w:t xml:space="preserve">section 2.1.1—5 (requirement for </w:t>
      </w:r>
      <w:proofErr w:type="spellStart"/>
      <w:r w:rsidRPr="005D30DA">
        <w:t>thiamin</w:t>
      </w:r>
      <w:proofErr w:type="spellEnd"/>
      <w:r w:rsidRPr="005D30DA">
        <w:t xml:space="preserve"> in bread);</w:t>
      </w:r>
    </w:p>
    <w:p w14:paraId="19C961F9" w14:textId="77777777" w:rsidR="005D30DA" w:rsidRPr="005D30DA" w:rsidRDefault="005D30DA" w:rsidP="005D30DA">
      <w:pPr>
        <w:spacing w:before="120" w:after="120"/>
        <w:ind w:left="851" w:hanging="851"/>
        <w:rPr>
          <w:b/>
          <w:sz w:val="20"/>
          <w:szCs w:val="20"/>
          <w:lang w:bidi="ar-SA"/>
        </w:rPr>
      </w:pPr>
    </w:p>
    <w:p w14:paraId="5DC0456D" w14:textId="77777777" w:rsidR="005D30DA" w:rsidRPr="005D30DA" w:rsidRDefault="005D30DA" w:rsidP="00EE3DDE">
      <w:pPr>
        <w:pStyle w:val="FSCDraftingitemheading"/>
      </w:pPr>
      <w:r w:rsidRPr="005D30DA">
        <w:t>[2]</w:t>
      </w:r>
      <w:r w:rsidRPr="005D30DA">
        <w:tab/>
        <w:t>Paragraph 1.1.1—5(1)(b)</w:t>
      </w:r>
    </w:p>
    <w:p w14:paraId="34345ABD" w14:textId="77777777" w:rsidR="005D30DA" w:rsidRPr="005D30DA" w:rsidRDefault="005D30DA" w:rsidP="00EE3DDE">
      <w:pPr>
        <w:pStyle w:val="FSCDraftingitem"/>
      </w:pPr>
      <w:r w:rsidRPr="005D30DA">
        <w:tab/>
        <w:t>Omit “2019”, substitute “2022”</w:t>
      </w:r>
    </w:p>
    <w:p w14:paraId="5789CCF7" w14:textId="77777777" w:rsidR="005D30DA" w:rsidRPr="005D30DA" w:rsidRDefault="005D30DA" w:rsidP="005D30DA">
      <w:pPr>
        <w:widowControl/>
        <w:tabs>
          <w:tab w:val="left" w:pos="851"/>
        </w:tabs>
        <w:spacing w:before="120" w:after="120"/>
        <w:rPr>
          <w:sz w:val="20"/>
          <w:szCs w:val="20"/>
          <w:lang w:bidi="ar-SA"/>
        </w:rPr>
      </w:pPr>
    </w:p>
    <w:p w14:paraId="5C89046F" w14:textId="77777777" w:rsidR="005D30DA" w:rsidRPr="005D30DA" w:rsidRDefault="005D30DA" w:rsidP="00EE3DDE">
      <w:pPr>
        <w:pStyle w:val="FSCDraftingitemheading"/>
      </w:pPr>
      <w:r w:rsidRPr="005D30DA">
        <w:t>Standard 1.1.2 Definitions used throughout the Code</w:t>
      </w:r>
    </w:p>
    <w:p w14:paraId="0F7BF4F6" w14:textId="77777777" w:rsidR="005D30DA" w:rsidRPr="005D30DA" w:rsidRDefault="005D30DA" w:rsidP="00EE3DDE">
      <w:pPr>
        <w:pStyle w:val="FSCDraftingitemheading"/>
        <w:rPr>
          <w:bCs/>
        </w:rPr>
      </w:pPr>
      <w:r w:rsidRPr="005D30DA">
        <w:t>[3]</w:t>
      </w:r>
      <w:r w:rsidRPr="005D30DA">
        <w:tab/>
        <w:t>Subsection 1.1.2—2(3) (subparagraph (a)(</w:t>
      </w:r>
      <w:proofErr w:type="spellStart"/>
      <w:r w:rsidRPr="005D30DA">
        <w:t>i</w:t>
      </w:r>
      <w:proofErr w:type="spellEnd"/>
      <w:r w:rsidRPr="005D30DA">
        <w:t xml:space="preserve">) of the definition of </w:t>
      </w:r>
      <w:r w:rsidRPr="005D30DA">
        <w:rPr>
          <w:i/>
          <w:iCs/>
        </w:rPr>
        <w:t>permitted flavouring substance</w:t>
      </w:r>
      <w:r w:rsidRPr="005D30DA">
        <w:t>)</w:t>
      </w:r>
    </w:p>
    <w:p w14:paraId="217144A8" w14:textId="77777777" w:rsidR="005D30DA" w:rsidRPr="005D30DA" w:rsidRDefault="005D30DA" w:rsidP="00EE3DDE">
      <w:pPr>
        <w:pStyle w:val="FSCDraftingitem"/>
      </w:pPr>
      <w:r w:rsidRPr="005D30DA">
        <w:tab/>
        <w:t>Repeal the subparagraph, substitute</w:t>
      </w:r>
    </w:p>
    <w:p w14:paraId="116398DB" w14:textId="6C3C5D1D" w:rsidR="005D30DA" w:rsidRPr="005D30DA" w:rsidRDefault="008373E9" w:rsidP="00E54215">
      <w:pPr>
        <w:pStyle w:val="FSCtDefn"/>
        <w:ind w:left="3261" w:hanging="993"/>
      </w:pPr>
      <w:r>
        <w:t xml:space="preserve">   </w:t>
      </w:r>
      <w:r w:rsidR="00284132">
        <w:t xml:space="preserve">     </w:t>
      </w:r>
      <w:r w:rsidR="005D30DA" w:rsidRPr="005D30DA">
        <w:t>(</w:t>
      </w:r>
      <w:proofErr w:type="spellStart"/>
      <w:r w:rsidR="005D30DA" w:rsidRPr="005D30DA">
        <w:t>i</w:t>
      </w:r>
      <w:proofErr w:type="spellEnd"/>
      <w:r w:rsidR="005D30DA" w:rsidRPr="005D30DA">
        <w:t>)</w:t>
      </w:r>
      <w:r w:rsidR="005D30DA" w:rsidRPr="005D30DA">
        <w:tab/>
        <w:t>Generally Recognised as Safe (GRAS) lists of flavouring substances published by the Flavour and Extract Manufacturers’ Association of the United States from 1960 to 2022 (edition 30);</w:t>
      </w:r>
    </w:p>
    <w:p w14:paraId="34EBC966" w14:textId="77777777" w:rsidR="005D30DA" w:rsidRPr="005D30DA" w:rsidRDefault="005D30DA" w:rsidP="005D30DA">
      <w:pPr>
        <w:spacing w:before="120" w:after="120"/>
        <w:ind w:left="851" w:hanging="851"/>
        <w:rPr>
          <w:b/>
          <w:sz w:val="20"/>
          <w:szCs w:val="20"/>
          <w:lang w:bidi="ar-SA"/>
        </w:rPr>
      </w:pPr>
    </w:p>
    <w:p w14:paraId="549A1E9A" w14:textId="77777777" w:rsidR="005D30DA" w:rsidRPr="005D30DA" w:rsidRDefault="005D30DA" w:rsidP="00EE3DDE">
      <w:pPr>
        <w:pStyle w:val="FSCDraftingitemheading"/>
      </w:pPr>
      <w:r w:rsidRPr="005D30DA">
        <w:t>Standard 1.3.3</w:t>
      </w:r>
      <w:r w:rsidRPr="005D30DA">
        <w:tab/>
        <w:t>Processing aids</w:t>
      </w:r>
    </w:p>
    <w:p w14:paraId="3794DDE7" w14:textId="77777777" w:rsidR="005D30DA" w:rsidRPr="005D30DA" w:rsidRDefault="005D30DA" w:rsidP="00F61465">
      <w:pPr>
        <w:pStyle w:val="FSCDraftingitemheading"/>
      </w:pPr>
      <w:r w:rsidRPr="005D30DA">
        <w:t>[4]</w:t>
      </w:r>
      <w:r w:rsidRPr="005D30DA">
        <w:tab/>
      </w:r>
      <w:bookmarkStart w:id="80" w:name="_Hlk120632227"/>
      <w:r w:rsidRPr="005D30DA">
        <w:t xml:space="preserve">Section 1.3.3—13 </w:t>
      </w:r>
      <w:bookmarkEnd w:id="80"/>
    </w:p>
    <w:p w14:paraId="6511A63B" w14:textId="77777777" w:rsidR="005D30DA" w:rsidRPr="005D30DA" w:rsidRDefault="005D30DA" w:rsidP="00B37387">
      <w:pPr>
        <w:pStyle w:val="FSCDraftingitem"/>
      </w:pPr>
      <w:r w:rsidRPr="005D30DA">
        <w:tab/>
        <w:t>Omit “anti-microbial” wherever occurring, substitute “antimicrobial”</w:t>
      </w:r>
    </w:p>
    <w:p w14:paraId="712311ED" w14:textId="77777777" w:rsidR="005D30DA" w:rsidRPr="005D30DA" w:rsidRDefault="005D30DA" w:rsidP="005D30DA">
      <w:pPr>
        <w:spacing w:before="120" w:after="120"/>
        <w:ind w:left="851" w:hanging="851"/>
        <w:rPr>
          <w:b/>
          <w:sz w:val="20"/>
          <w:szCs w:val="20"/>
          <w:lang w:bidi="ar-SA"/>
        </w:rPr>
      </w:pPr>
    </w:p>
    <w:p w14:paraId="6973B1E6" w14:textId="77777777" w:rsidR="005D30DA" w:rsidRPr="005D30DA" w:rsidRDefault="005D30DA" w:rsidP="00B37387">
      <w:pPr>
        <w:pStyle w:val="FSCDraftingitemheading"/>
      </w:pPr>
      <w:r w:rsidRPr="005D30DA">
        <w:t>Standard 2.1.1 Cereal and cereal products</w:t>
      </w:r>
    </w:p>
    <w:p w14:paraId="167CA7B0" w14:textId="77777777" w:rsidR="005D30DA" w:rsidRPr="005D30DA" w:rsidRDefault="005D30DA" w:rsidP="00B37387">
      <w:pPr>
        <w:pStyle w:val="FSCDraftingitemheading"/>
      </w:pPr>
      <w:r w:rsidRPr="005D30DA">
        <w:t>[5]</w:t>
      </w:r>
      <w:r w:rsidRPr="005D30DA">
        <w:tab/>
        <w:t>Section 2.1.1—5 (note)</w:t>
      </w:r>
    </w:p>
    <w:p w14:paraId="4739CA54" w14:textId="77777777" w:rsidR="005D30DA" w:rsidRPr="005D30DA" w:rsidRDefault="005D30DA" w:rsidP="00B37387">
      <w:pPr>
        <w:pStyle w:val="FSCDraftingitem"/>
      </w:pPr>
      <w:r w:rsidRPr="005D30DA">
        <w:tab/>
        <w:t>Repeal the note.</w:t>
      </w:r>
    </w:p>
    <w:p w14:paraId="0F13C59F" w14:textId="77777777" w:rsidR="005D30DA" w:rsidRPr="005D30DA" w:rsidRDefault="005D30DA" w:rsidP="005D30DA">
      <w:pPr>
        <w:spacing w:before="120" w:after="120"/>
        <w:ind w:left="851" w:hanging="851"/>
        <w:rPr>
          <w:b/>
          <w:sz w:val="20"/>
          <w:szCs w:val="20"/>
          <w:lang w:bidi="ar-SA"/>
        </w:rPr>
      </w:pPr>
    </w:p>
    <w:p w14:paraId="049114B8" w14:textId="77777777" w:rsidR="005D30DA" w:rsidRPr="005D30DA" w:rsidRDefault="005D30DA" w:rsidP="00B37387">
      <w:pPr>
        <w:pStyle w:val="FSCDraftingitemheading"/>
      </w:pPr>
      <w:r w:rsidRPr="005D30DA">
        <w:t>[6]</w:t>
      </w:r>
      <w:r w:rsidRPr="005D30DA">
        <w:tab/>
        <w:t xml:space="preserve">At the end of </w:t>
      </w:r>
      <w:bookmarkStart w:id="81" w:name="_Hlk112172222"/>
      <w:r w:rsidRPr="005D30DA">
        <w:t>paragraph 2.1.1—5(b)</w:t>
      </w:r>
      <w:bookmarkEnd w:id="81"/>
    </w:p>
    <w:p w14:paraId="4CD493E9" w14:textId="77777777" w:rsidR="005D30DA" w:rsidRPr="005D30DA" w:rsidRDefault="005D30DA" w:rsidP="00B37387">
      <w:pPr>
        <w:pStyle w:val="FSCDraftingitem"/>
      </w:pPr>
      <w:r w:rsidRPr="005D30DA">
        <w:tab/>
        <w:t>Add:</w:t>
      </w:r>
    </w:p>
    <w:p w14:paraId="123B2CE9" w14:textId="77777777" w:rsidR="005D30DA" w:rsidRPr="005D30DA" w:rsidRDefault="005D30DA" w:rsidP="001D442B">
      <w:pPr>
        <w:pStyle w:val="FSCnPara"/>
        <w:rPr>
          <w:sz w:val="20"/>
        </w:rPr>
      </w:pPr>
      <w:r w:rsidRPr="005D30DA">
        <w:rPr>
          <w:sz w:val="20"/>
        </w:rPr>
        <w:tab/>
      </w:r>
      <w:r w:rsidRPr="005D30DA">
        <w:rPr>
          <w:sz w:val="20"/>
        </w:rPr>
        <w:tab/>
      </w:r>
      <w:r w:rsidRPr="005D30DA">
        <w:rPr>
          <w:b/>
          <w:bCs/>
          <w:i/>
        </w:rPr>
        <w:t xml:space="preserve">Note </w:t>
      </w:r>
      <w:r w:rsidRPr="005D30DA">
        <w:t>Paragraph 2.1.1—5(b) applies in Australia only.</w:t>
      </w:r>
      <w:r w:rsidRPr="005D30DA">
        <w:rPr>
          <w:sz w:val="20"/>
        </w:rPr>
        <w:tab/>
      </w:r>
    </w:p>
    <w:p w14:paraId="0336A344" w14:textId="77777777" w:rsidR="005D30DA" w:rsidRPr="005D30DA" w:rsidRDefault="005D30DA" w:rsidP="005D30DA">
      <w:pPr>
        <w:spacing w:before="120" w:after="120"/>
        <w:ind w:left="851" w:hanging="851"/>
        <w:rPr>
          <w:b/>
          <w:sz w:val="20"/>
          <w:szCs w:val="20"/>
          <w:lang w:bidi="ar-SA"/>
        </w:rPr>
      </w:pPr>
    </w:p>
    <w:p w14:paraId="62221927" w14:textId="77777777" w:rsidR="005D30DA" w:rsidRPr="005D30DA" w:rsidRDefault="005D30DA" w:rsidP="001D442B">
      <w:pPr>
        <w:pStyle w:val="FSCDraftingitemheading"/>
      </w:pPr>
      <w:r w:rsidRPr="005D30DA">
        <w:t>Standard 2.2.3</w:t>
      </w:r>
      <w:r w:rsidRPr="005D30DA">
        <w:tab/>
        <w:t>Fish and fish products</w:t>
      </w:r>
    </w:p>
    <w:p w14:paraId="512BE8E0" w14:textId="77777777" w:rsidR="005D30DA" w:rsidRPr="005D30DA" w:rsidRDefault="005D30DA" w:rsidP="001D442B">
      <w:pPr>
        <w:pStyle w:val="FSCDraftingitemheading"/>
      </w:pPr>
      <w:r w:rsidRPr="005D30DA">
        <w:t>[7]</w:t>
      </w:r>
      <w:r w:rsidRPr="005D30DA">
        <w:tab/>
      </w:r>
      <w:bookmarkStart w:id="82" w:name="_Hlk120635133"/>
      <w:r w:rsidRPr="005D30DA">
        <w:t>Note 3</w:t>
      </w:r>
      <w:bookmarkEnd w:id="82"/>
    </w:p>
    <w:p w14:paraId="1C91C5F3" w14:textId="77777777" w:rsidR="005D30DA" w:rsidRPr="005D30DA" w:rsidRDefault="005D30DA" w:rsidP="001D442B">
      <w:pPr>
        <w:pStyle w:val="FSCDraftingitem"/>
      </w:pPr>
      <w:r w:rsidRPr="005D30DA">
        <w:t>Repeal the note, substitute:</w:t>
      </w:r>
    </w:p>
    <w:p w14:paraId="1F63B653" w14:textId="77777777" w:rsidR="005D30DA" w:rsidRPr="005D30DA" w:rsidRDefault="005D30DA" w:rsidP="001D442B">
      <w:pPr>
        <w:pStyle w:val="FSCnMain"/>
        <w:ind w:left="0" w:firstLine="0"/>
        <w:rPr>
          <w:lang w:val="en-AU"/>
        </w:rPr>
      </w:pPr>
      <w:r w:rsidRPr="005D30DA">
        <w:t>This Code does not define specific names for fish. The Australian Fish Names Standard (AS 5300) provides guidance on standard fish names to be used in Australia.</w:t>
      </w:r>
    </w:p>
    <w:p w14:paraId="4F5646B9" w14:textId="4B892253" w:rsidR="005D30DA" w:rsidRDefault="005D30DA" w:rsidP="00D01512">
      <w:pPr>
        <w:pStyle w:val="FSCnMain"/>
      </w:pPr>
      <w:r w:rsidRPr="005D30DA">
        <w:t xml:space="preserve">                                      1.          Hard copies of the Standard </w:t>
      </w:r>
      <w:r w:rsidR="006F203E">
        <w:t>are</w:t>
      </w:r>
      <w:r w:rsidRPr="005D30DA">
        <w:t xml:space="preserve"> available at</w:t>
      </w:r>
      <w:r w:rsidR="00D01512">
        <w:t xml:space="preserve"> </w:t>
      </w:r>
      <w:hyperlink r:id="rId26" w:history="1">
        <w:r w:rsidR="00355CAA" w:rsidRPr="00D80CCD">
          <w:rPr>
            <w:rStyle w:val="Hyperlink"/>
            <w:szCs w:val="16"/>
            <w:lang w:eastAsia="en-US"/>
          </w:rPr>
          <w:t>https://infostore.saiglobal.com/en-au/standards/as-5300-2019-111200_saig_as_as_2741382/</w:t>
        </w:r>
      </w:hyperlink>
      <w:r w:rsidRPr="005D30DA">
        <w:t>.</w:t>
      </w:r>
    </w:p>
    <w:p w14:paraId="3BE4065E" w14:textId="77777777" w:rsidR="005D30DA" w:rsidRPr="005D30DA" w:rsidRDefault="005D30DA" w:rsidP="00355CAA">
      <w:pPr>
        <w:pStyle w:val="FSCnMain"/>
      </w:pPr>
      <w:r w:rsidRPr="005D30DA">
        <w:t>                                      2.          A searchable database of Australian Standard Fish Names is available at </w:t>
      </w:r>
      <w:hyperlink r:id="rId27" w:history="1">
        <w:r w:rsidRPr="005D30DA">
          <w:rPr>
            <w:color w:val="0000FF" w:themeColor="hyperlink"/>
            <w:u w:val="single"/>
          </w:rPr>
          <w:t>http://www.fishnames.com.au</w:t>
        </w:r>
      </w:hyperlink>
      <w:r w:rsidRPr="005D30DA">
        <w:t>.</w:t>
      </w:r>
    </w:p>
    <w:p w14:paraId="35D511DA" w14:textId="77777777" w:rsidR="005D30DA" w:rsidRPr="005D30DA" w:rsidRDefault="005D30DA" w:rsidP="00355CAA">
      <w:pPr>
        <w:pStyle w:val="FSCnMain"/>
        <w:rPr>
          <w:u w:val="single"/>
        </w:rPr>
      </w:pPr>
      <w:r w:rsidRPr="005D30DA">
        <w:lastRenderedPageBreak/>
        <w:tab/>
        <w:t>3.</w:t>
      </w:r>
      <w:r w:rsidRPr="005D30DA">
        <w:tab/>
        <w:t xml:space="preserve">New Zealand common, </w:t>
      </w:r>
      <w:proofErr w:type="spellStart"/>
      <w:r w:rsidRPr="005D30DA">
        <w:t>Maori</w:t>
      </w:r>
      <w:proofErr w:type="spellEnd"/>
      <w:r w:rsidRPr="005D30DA">
        <w:t>, and scientific names for fish species are available at </w:t>
      </w:r>
      <w:hyperlink r:id="rId28" w:history="1">
        <w:r w:rsidRPr="005D30DA">
          <w:rPr>
            <w:color w:val="0000FF" w:themeColor="hyperlink"/>
            <w:u w:val="single"/>
          </w:rPr>
          <w:t>https://www.mpi.govt.nz/food-business/seafood-processing-storage-testing/fish-names-labelling-requirements/</w:t>
        </w:r>
      </w:hyperlink>
      <w:r w:rsidRPr="005D30DA">
        <w:rPr>
          <w:u w:val="single"/>
        </w:rPr>
        <w:t>.</w:t>
      </w:r>
    </w:p>
    <w:p w14:paraId="4A1A9988" w14:textId="77777777" w:rsidR="005D30DA" w:rsidRPr="005D30DA" w:rsidRDefault="005D30DA" w:rsidP="005D30DA">
      <w:pPr>
        <w:spacing w:before="120" w:after="120"/>
        <w:ind w:left="851" w:hanging="851"/>
        <w:rPr>
          <w:b/>
          <w:sz w:val="20"/>
          <w:szCs w:val="20"/>
          <w:lang w:bidi="ar-SA"/>
        </w:rPr>
      </w:pPr>
    </w:p>
    <w:p w14:paraId="7980DF3A" w14:textId="77777777" w:rsidR="005D30DA" w:rsidRPr="005D30DA" w:rsidRDefault="005D30DA" w:rsidP="005C16EE">
      <w:pPr>
        <w:pStyle w:val="FSCDraftingitemheading"/>
      </w:pPr>
      <w:r w:rsidRPr="005D30DA">
        <w:t>Standard 2.9.1 Infant formula products</w:t>
      </w:r>
    </w:p>
    <w:p w14:paraId="6000B8B1" w14:textId="77777777" w:rsidR="005D30DA" w:rsidRPr="005D30DA" w:rsidRDefault="005D30DA" w:rsidP="005C16EE">
      <w:pPr>
        <w:pStyle w:val="FSCDraftingitemheading"/>
      </w:pPr>
      <w:r w:rsidRPr="005D30DA">
        <w:t>[8]</w:t>
      </w:r>
      <w:r w:rsidRPr="005D30DA">
        <w:tab/>
        <w:t>Paragraph 2.9.1—24(1)(</w:t>
      </w:r>
      <w:proofErr w:type="spellStart"/>
      <w:r w:rsidRPr="005D30DA">
        <w:t>cb</w:t>
      </w:r>
      <w:proofErr w:type="spellEnd"/>
      <w:r w:rsidRPr="005D30DA">
        <w:t>)</w:t>
      </w:r>
    </w:p>
    <w:p w14:paraId="16BA4BA0" w14:textId="77777777" w:rsidR="005D30DA" w:rsidRPr="005D30DA" w:rsidRDefault="005D30DA" w:rsidP="005C16EE">
      <w:pPr>
        <w:pStyle w:val="FSCDraftingitem"/>
      </w:pPr>
      <w:r w:rsidRPr="005D30DA">
        <w:tab/>
        <w:t>Repeal the paragraph, substitute:</w:t>
      </w:r>
    </w:p>
    <w:p w14:paraId="03F3ED21" w14:textId="77777777" w:rsidR="005D30DA" w:rsidRPr="005D30DA" w:rsidRDefault="005D30DA" w:rsidP="00C959DD">
      <w:pPr>
        <w:pStyle w:val="FSCtPara"/>
        <w:ind w:left="3119" w:hanging="425"/>
      </w:pPr>
      <w:r w:rsidRPr="005D30DA">
        <w:t>(</w:t>
      </w:r>
      <w:proofErr w:type="spellStart"/>
      <w:r w:rsidRPr="005D30DA">
        <w:t>cb</w:t>
      </w:r>
      <w:proofErr w:type="spellEnd"/>
      <w:r w:rsidRPr="005D30DA">
        <w:t>)</w:t>
      </w:r>
      <w:r w:rsidRPr="005D30DA">
        <w:tab/>
        <w:t>the abbreviations ‘HMO’ or ‘</w:t>
      </w:r>
      <w:proofErr w:type="spellStart"/>
      <w:r w:rsidRPr="005D30DA">
        <w:t>HiMO</w:t>
      </w:r>
      <w:proofErr w:type="spellEnd"/>
      <w:r w:rsidRPr="005D30DA">
        <w:t>’ or any abbreviation having the same or similar effect; or</w:t>
      </w:r>
    </w:p>
    <w:p w14:paraId="3FDCC0B6" w14:textId="77777777" w:rsidR="005D30DA" w:rsidRPr="005D30DA" w:rsidRDefault="005D30DA" w:rsidP="005D30DA">
      <w:pPr>
        <w:spacing w:before="120" w:after="120"/>
        <w:ind w:left="851" w:hanging="851"/>
        <w:rPr>
          <w:rFonts w:eastAsia="Calibri"/>
          <w:b/>
          <w:sz w:val="20"/>
          <w:szCs w:val="20"/>
          <w:lang w:bidi="ar-SA"/>
        </w:rPr>
      </w:pPr>
    </w:p>
    <w:p w14:paraId="12D9E907" w14:textId="77777777" w:rsidR="005D30DA" w:rsidRPr="005D30DA" w:rsidRDefault="005D30DA" w:rsidP="005C16EE">
      <w:pPr>
        <w:pStyle w:val="FSCDraftingitemheading"/>
      </w:pPr>
      <w:r w:rsidRPr="005D30DA">
        <w:t>Standard 3.2.1 Food Safety Programs</w:t>
      </w:r>
    </w:p>
    <w:p w14:paraId="4CCD5C07" w14:textId="77777777" w:rsidR="005D30DA" w:rsidRPr="005D30DA" w:rsidRDefault="005D30DA" w:rsidP="005C16EE">
      <w:pPr>
        <w:pStyle w:val="FSCDraftingitemheading"/>
      </w:pPr>
      <w:r w:rsidRPr="005D30DA">
        <w:t>[9]</w:t>
      </w:r>
      <w:r w:rsidRPr="005D30DA">
        <w:tab/>
        <w:t>Contents</w:t>
      </w:r>
    </w:p>
    <w:p w14:paraId="7D505201" w14:textId="77777777" w:rsidR="005D30DA" w:rsidRPr="005D30DA" w:rsidRDefault="005D30DA" w:rsidP="005C16EE">
      <w:pPr>
        <w:pStyle w:val="FSCDraftingitem"/>
        <w:rPr>
          <w:rFonts w:eastAsia="Calibri"/>
        </w:rPr>
      </w:pPr>
      <w:r w:rsidRPr="005D30DA">
        <w:rPr>
          <w:rFonts w:eastAsia="Calibri"/>
        </w:rPr>
        <w:tab/>
      </w:r>
      <w:r w:rsidRPr="005D30DA">
        <w:t>Repeal</w:t>
      </w:r>
      <w:r w:rsidRPr="005D30DA">
        <w:rPr>
          <w:rFonts w:eastAsia="Calibri"/>
        </w:rPr>
        <w:t>:</w:t>
      </w:r>
    </w:p>
    <w:p w14:paraId="0D66EBEC" w14:textId="4FFEA275" w:rsidR="005D30DA" w:rsidRPr="005D30DA" w:rsidRDefault="005D30DA" w:rsidP="005B2AA5">
      <w:pPr>
        <w:pStyle w:val="FSCtMain"/>
      </w:pPr>
      <w:r w:rsidRPr="005D30DA">
        <w:rPr>
          <w:rFonts w:eastAsia="Calibri"/>
        </w:rPr>
        <w:tab/>
      </w:r>
      <w:bookmarkStart w:id="83" w:name="_Hlk118368626"/>
      <w:r w:rsidRPr="005D30DA">
        <w:t>Division 2 – Food safety programs</w:t>
      </w:r>
    </w:p>
    <w:p w14:paraId="40758471" w14:textId="6631B1AD" w:rsidR="005D30DA" w:rsidRPr="005D30DA" w:rsidRDefault="005B2AA5" w:rsidP="005B2AA5">
      <w:pPr>
        <w:pStyle w:val="FSCtMain"/>
      </w:pPr>
      <w:r>
        <w:tab/>
      </w:r>
      <w:r w:rsidR="005D30DA" w:rsidRPr="005D30DA">
        <w:t>3            General food safety program requirements</w:t>
      </w:r>
    </w:p>
    <w:p w14:paraId="7766B65E" w14:textId="1B7A2EAA" w:rsidR="005D30DA" w:rsidRPr="005D30DA" w:rsidRDefault="005B2AA5" w:rsidP="005B2AA5">
      <w:pPr>
        <w:pStyle w:val="FSCtMain"/>
      </w:pPr>
      <w:r>
        <w:tab/>
      </w:r>
      <w:r w:rsidR="005D30DA" w:rsidRPr="005D30DA">
        <w:t>4            Auditing of food safety programs</w:t>
      </w:r>
    </w:p>
    <w:p w14:paraId="3A6F33C1" w14:textId="395CEA0E" w:rsidR="005D30DA" w:rsidRPr="005D30DA" w:rsidRDefault="005B2AA5" w:rsidP="005B2AA5">
      <w:pPr>
        <w:pStyle w:val="FSCtMain"/>
      </w:pPr>
      <w:r>
        <w:tab/>
      </w:r>
      <w:r w:rsidR="005D30DA" w:rsidRPr="005D30DA">
        <w:t>Content of food safety programs</w:t>
      </w:r>
    </w:p>
    <w:p w14:paraId="5721337A" w14:textId="3C8BDAB3" w:rsidR="005D30DA" w:rsidRPr="005D30DA" w:rsidRDefault="005B2AA5" w:rsidP="005B2AA5">
      <w:pPr>
        <w:pStyle w:val="FSCtMain"/>
      </w:pPr>
      <w:r>
        <w:tab/>
      </w:r>
      <w:r w:rsidR="005D30DA" w:rsidRPr="005D30DA">
        <w:t>6            Fund raising events</w:t>
      </w:r>
      <w:bookmarkEnd w:id="83"/>
    </w:p>
    <w:p w14:paraId="2FC0AA49" w14:textId="77777777" w:rsidR="005D30DA" w:rsidRPr="005D30DA" w:rsidRDefault="005D30DA" w:rsidP="005C16EE">
      <w:pPr>
        <w:pStyle w:val="FSCDraftingitem"/>
        <w:rPr>
          <w:rFonts w:eastAsia="Calibri"/>
        </w:rPr>
      </w:pPr>
      <w:r w:rsidRPr="005D30DA">
        <w:rPr>
          <w:rFonts w:eastAsia="Calibri"/>
        </w:rPr>
        <w:tab/>
      </w:r>
      <w:r w:rsidRPr="005D30DA">
        <w:t>substitute</w:t>
      </w:r>
      <w:r w:rsidRPr="005D30DA">
        <w:rPr>
          <w:rFonts w:eastAsia="Calibri"/>
        </w:rPr>
        <w:t>:</w:t>
      </w:r>
    </w:p>
    <w:p w14:paraId="0D5179A1" w14:textId="77777777" w:rsidR="005D30DA" w:rsidRPr="005D30DA" w:rsidRDefault="005D30DA" w:rsidP="005B2AA5">
      <w:pPr>
        <w:pStyle w:val="FSCtMain"/>
      </w:pPr>
      <w:r w:rsidRPr="005D30DA">
        <w:tab/>
        <w:t>Division 2 – Food safety programs</w:t>
      </w:r>
    </w:p>
    <w:p w14:paraId="09B3D76E" w14:textId="77777777" w:rsidR="005D30DA" w:rsidRPr="005D30DA" w:rsidRDefault="005D30DA" w:rsidP="005B2AA5">
      <w:pPr>
        <w:pStyle w:val="FSCtMain"/>
      </w:pPr>
      <w:r w:rsidRPr="005D30DA">
        <w:tab/>
        <w:t>3</w:t>
      </w:r>
      <w:r w:rsidRPr="005D30DA">
        <w:tab/>
        <w:t>General food safety program requirements</w:t>
      </w:r>
    </w:p>
    <w:p w14:paraId="535C4471" w14:textId="77777777" w:rsidR="005D30DA" w:rsidRPr="005D30DA" w:rsidRDefault="005D30DA" w:rsidP="005B2AA5">
      <w:pPr>
        <w:pStyle w:val="FSCtMain"/>
      </w:pPr>
      <w:r w:rsidRPr="005D30DA">
        <w:tab/>
        <w:t>4</w:t>
      </w:r>
      <w:r w:rsidRPr="005D30DA">
        <w:tab/>
        <w:t>Auditing of food safety programs</w:t>
      </w:r>
    </w:p>
    <w:p w14:paraId="15BA86B5" w14:textId="77777777" w:rsidR="005D30DA" w:rsidRPr="005D30DA" w:rsidRDefault="005D30DA" w:rsidP="005B2AA5">
      <w:pPr>
        <w:pStyle w:val="FSCtMain"/>
      </w:pPr>
      <w:r w:rsidRPr="005D30DA">
        <w:tab/>
        <w:t>5</w:t>
      </w:r>
      <w:r w:rsidRPr="005D30DA">
        <w:tab/>
        <w:t>Content of food safety programs</w:t>
      </w:r>
    </w:p>
    <w:p w14:paraId="2FCE978F" w14:textId="77777777" w:rsidR="005D30DA" w:rsidRPr="005D30DA" w:rsidRDefault="005D30DA" w:rsidP="005B2AA5">
      <w:pPr>
        <w:pStyle w:val="FSCtMain"/>
        <w:rPr>
          <w:rFonts w:eastAsia="Calibri"/>
        </w:rPr>
      </w:pPr>
      <w:r w:rsidRPr="005D30DA">
        <w:tab/>
        <w:t>6</w:t>
      </w:r>
      <w:r w:rsidRPr="005D30DA">
        <w:tab/>
        <w:t>Fund raising events</w:t>
      </w:r>
    </w:p>
    <w:p w14:paraId="23991F92" w14:textId="77777777" w:rsidR="005D30DA" w:rsidRPr="005D30DA" w:rsidRDefault="005D30DA" w:rsidP="005D30DA">
      <w:pPr>
        <w:spacing w:before="120" w:after="120"/>
        <w:ind w:left="851" w:hanging="851"/>
        <w:rPr>
          <w:b/>
          <w:sz w:val="20"/>
          <w:szCs w:val="20"/>
          <w:lang w:bidi="ar-SA"/>
        </w:rPr>
      </w:pPr>
    </w:p>
    <w:p w14:paraId="445CD69E" w14:textId="77777777" w:rsidR="005D30DA" w:rsidRPr="005D30DA" w:rsidRDefault="005D30DA" w:rsidP="009B2410">
      <w:pPr>
        <w:pStyle w:val="FSCDraftingitemheading"/>
      </w:pPr>
      <w:r w:rsidRPr="005D30DA">
        <w:t>Standard 3.2.2</w:t>
      </w:r>
      <w:r w:rsidRPr="005D30DA">
        <w:tab/>
        <w:t>Food Safety Practices and General Requirements</w:t>
      </w:r>
    </w:p>
    <w:p w14:paraId="38A2362D" w14:textId="77777777" w:rsidR="005D30DA" w:rsidRPr="005D30DA" w:rsidRDefault="005D30DA" w:rsidP="009B2410">
      <w:pPr>
        <w:pStyle w:val="FSCDraftingitemheading"/>
      </w:pPr>
      <w:r w:rsidRPr="005D30DA">
        <w:t>[10]</w:t>
      </w:r>
      <w:r w:rsidRPr="005D30DA">
        <w:tab/>
        <w:t>Subclause 4(4)</w:t>
      </w:r>
    </w:p>
    <w:p w14:paraId="420540D4" w14:textId="77777777" w:rsidR="005D30DA" w:rsidRPr="005D30DA" w:rsidRDefault="005D30DA" w:rsidP="009B2410">
      <w:pPr>
        <w:pStyle w:val="FSCDraftingitem"/>
      </w:pPr>
      <w:r w:rsidRPr="005D30DA">
        <w:tab/>
        <w:t>Repeal the subclause.</w:t>
      </w:r>
    </w:p>
    <w:p w14:paraId="5E94CEBE" w14:textId="77777777" w:rsidR="005D30DA" w:rsidRPr="005D30DA" w:rsidRDefault="005D30DA" w:rsidP="005D30DA">
      <w:pPr>
        <w:spacing w:before="120" w:after="120"/>
        <w:ind w:left="851" w:hanging="851"/>
        <w:rPr>
          <w:b/>
          <w:sz w:val="20"/>
          <w:szCs w:val="20"/>
          <w:lang w:bidi="ar-SA"/>
        </w:rPr>
      </w:pPr>
    </w:p>
    <w:p w14:paraId="0DCC450A" w14:textId="77777777" w:rsidR="005D30DA" w:rsidRPr="005D30DA" w:rsidRDefault="005D30DA" w:rsidP="00A928C0">
      <w:pPr>
        <w:pStyle w:val="FSCDraftingitemheading"/>
      </w:pPr>
      <w:r w:rsidRPr="005D30DA">
        <w:t>Standard 4.1.1</w:t>
      </w:r>
      <w:r w:rsidRPr="005D30DA">
        <w:tab/>
        <w:t>Primary Production and Processing Standards – Preliminary Provisions</w:t>
      </w:r>
    </w:p>
    <w:p w14:paraId="70814754" w14:textId="77777777" w:rsidR="005D30DA" w:rsidRPr="005D30DA" w:rsidRDefault="005D30DA" w:rsidP="00A928C0">
      <w:pPr>
        <w:pStyle w:val="FSCDraftingitemheading"/>
      </w:pPr>
      <w:r w:rsidRPr="005D30DA">
        <w:t>[11]</w:t>
      </w:r>
      <w:r w:rsidRPr="005D30DA">
        <w:tab/>
      </w:r>
      <w:bookmarkStart w:id="84" w:name="_Hlk120636207"/>
      <w:r w:rsidRPr="005D30DA">
        <w:t>Clause 5 (editorial note)</w:t>
      </w:r>
      <w:bookmarkEnd w:id="84"/>
    </w:p>
    <w:p w14:paraId="2A9A5249" w14:textId="77777777" w:rsidR="005D30DA" w:rsidRPr="005D30DA" w:rsidRDefault="005D30DA" w:rsidP="009B2410">
      <w:pPr>
        <w:pStyle w:val="FSCDraftingitem"/>
      </w:pPr>
      <w:r w:rsidRPr="005D30DA">
        <w:tab/>
        <w:t>Omit “AQIS”, substitute “DAFF”.</w:t>
      </w:r>
    </w:p>
    <w:p w14:paraId="7D537C3A" w14:textId="77777777" w:rsidR="005D30DA" w:rsidRPr="005D30DA" w:rsidRDefault="005D30DA" w:rsidP="005D30DA">
      <w:pPr>
        <w:spacing w:before="120" w:after="120"/>
        <w:ind w:left="851" w:hanging="851"/>
        <w:rPr>
          <w:b/>
          <w:sz w:val="20"/>
          <w:szCs w:val="20"/>
          <w:lang w:bidi="ar-SA"/>
        </w:rPr>
      </w:pPr>
    </w:p>
    <w:p w14:paraId="06D1C8BE" w14:textId="797D77BA" w:rsidR="005D30DA" w:rsidRPr="005D30DA" w:rsidRDefault="005D30DA" w:rsidP="00A928C0">
      <w:pPr>
        <w:pStyle w:val="FSCDraftingitemheading"/>
      </w:pPr>
      <w:r w:rsidRPr="005D30DA">
        <w:t>Standard 4.2.1</w:t>
      </w:r>
      <w:r w:rsidRPr="005D30DA">
        <w:tab/>
        <w:t>Primary Production and Processing Standard for Seafood</w:t>
      </w:r>
    </w:p>
    <w:p w14:paraId="390EC451" w14:textId="77777777" w:rsidR="005D30DA" w:rsidRPr="005D30DA" w:rsidRDefault="005D30DA" w:rsidP="00A928C0">
      <w:pPr>
        <w:pStyle w:val="FSCDraftingitemheading"/>
      </w:pPr>
      <w:r w:rsidRPr="005D30DA">
        <w:t>[12]</w:t>
      </w:r>
      <w:r w:rsidRPr="005D30DA">
        <w:tab/>
      </w:r>
      <w:bookmarkStart w:id="85" w:name="_Hlk120636386"/>
      <w:r w:rsidRPr="005D30DA">
        <w:t>Paragraph 16(2)(b)</w:t>
      </w:r>
      <w:bookmarkEnd w:id="85"/>
    </w:p>
    <w:p w14:paraId="068E201C" w14:textId="77777777" w:rsidR="005D30DA" w:rsidRPr="005D30DA" w:rsidRDefault="005D30DA" w:rsidP="009B2410">
      <w:pPr>
        <w:pStyle w:val="FSCDraftingitem"/>
      </w:pPr>
      <w:r w:rsidRPr="005D30DA">
        <w:tab/>
        <w:t>Omit:</w:t>
      </w:r>
    </w:p>
    <w:p w14:paraId="15728CFE" w14:textId="77777777" w:rsidR="005D30DA" w:rsidRPr="005D30DA" w:rsidRDefault="005D30DA" w:rsidP="00372AA6">
      <w:pPr>
        <w:pStyle w:val="FSCtPara"/>
        <w:rPr>
          <w:lang w:val="en-AU"/>
        </w:rPr>
      </w:pPr>
      <w:r w:rsidRPr="005D30DA">
        <w:rPr>
          <w:lang w:val="en-AU"/>
        </w:rPr>
        <w:t>Fish and Fish Products Orders (2005)</w:t>
      </w:r>
    </w:p>
    <w:p w14:paraId="6697B64D" w14:textId="77777777" w:rsidR="005D30DA" w:rsidRPr="005D30DA" w:rsidRDefault="005D30DA" w:rsidP="009B2410">
      <w:pPr>
        <w:pStyle w:val="FSCDraftingitem"/>
      </w:pPr>
      <w:r w:rsidRPr="005D30DA">
        <w:tab/>
        <w:t>submit:</w:t>
      </w:r>
    </w:p>
    <w:p w14:paraId="6539937E" w14:textId="77777777" w:rsidR="005D30DA" w:rsidRPr="00372AA6" w:rsidRDefault="005D30DA" w:rsidP="00372AA6">
      <w:pPr>
        <w:pStyle w:val="FSCtPara"/>
        <w:rPr>
          <w:i/>
          <w:iCs w:val="0"/>
          <w:lang w:val="en-AU"/>
        </w:rPr>
      </w:pPr>
      <w:r w:rsidRPr="00372AA6">
        <w:rPr>
          <w:i/>
          <w:iCs w:val="0"/>
          <w:lang w:val="en-AU"/>
        </w:rPr>
        <w:t>Export Control (Fish and Fish Products) Rules 2021</w:t>
      </w:r>
    </w:p>
    <w:p w14:paraId="6CDC3BB6" w14:textId="77777777" w:rsidR="005D30DA" w:rsidRPr="005D30DA" w:rsidRDefault="005D30DA" w:rsidP="005D30DA">
      <w:pPr>
        <w:spacing w:before="120" w:after="120"/>
        <w:ind w:left="851" w:hanging="851"/>
        <w:rPr>
          <w:b/>
          <w:sz w:val="20"/>
          <w:szCs w:val="20"/>
          <w:lang w:bidi="ar-SA"/>
        </w:rPr>
      </w:pPr>
    </w:p>
    <w:p w14:paraId="57EBA762" w14:textId="77777777" w:rsidR="005D30DA" w:rsidRPr="005D30DA" w:rsidRDefault="005D30DA" w:rsidP="00372AA6">
      <w:pPr>
        <w:pStyle w:val="FSCDraftingitemheading"/>
      </w:pPr>
      <w:r w:rsidRPr="005D30DA">
        <w:t>Standard 4.2.2</w:t>
      </w:r>
      <w:r w:rsidRPr="005D30DA">
        <w:tab/>
        <w:t>Production and Processing Standard for Poultry Meat</w:t>
      </w:r>
    </w:p>
    <w:p w14:paraId="06813498" w14:textId="77777777" w:rsidR="005D30DA" w:rsidRPr="005D30DA" w:rsidRDefault="005D30DA" w:rsidP="00372AA6">
      <w:pPr>
        <w:pStyle w:val="FSCDraftingitemheading"/>
      </w:pPr>
      <w:r w:rsidRPr="005D30DA">
        <w:t>[13]</w:t>
      </w:r>
      <w:r w:rsidRPr="005D30DA">
        <w:tab/>
      </w:r>
      <w:bookmarkStart w:id="86" w:name="_Hlk120636674"/>
      <w:r w:rsidRPr="005D30DA">
        <w:t>Clause 14 (editorial note)</w:t>
      </w:r>
      <w:bookmarkEnd w:id="86"/>
    </w:p>
    <w:p w14:paraId="25CB6477" w14:textId="77777777" w:rsidR="005D30DA" w:rsidRPr="005D30DA" w:rsidRDefault="005D30DA" w:rsidP="00372AA6">
      <w:pPr>
        <w:pStyle w:val="FSCDraftingitem"/>
      </w:pPr>
      <w:r w:rsidRPr="005D30DA">
        <w:lastRenderedPageBreak/>
        <w:tab/>
        <w:t>Omit:</w:t>
      </w:r>
    </w:p>
    <w:p w14:paraId="06D9FA62" w14:textId="77777777" w:rsidR="005D30DA" w:rsidRPr="00C7233B" w:rsidRDefault="005D30DA" w:rsidP="00C7233B">
      <w:pPr>
        <w:pStyle w:val="FSCtMain"/>
        <w:rPr>
          <w:i/>
        </w:rPr>
      </w:pPr>
      <w:r w:rsidRPr="00C7233B">
        <w:rPr>
          <w:i/>
        </w:rPr>
        <w:t>Australian Drinking Water Guidelines 2004</w:t>
      </w:r>
    </w:p>
    <w:p w14:paraId="73672A36" w14:textId="77777777" w:rsidR="005D30DA" w:rsidRPr="005D30DA" w:rsidRDefault="005D30DA" w:rsidP="00372AA6">
      <w:pPr>
        <w:pStyle w:val="FSCDraftingitem"/>
      </w:pPr>
      <w:r w:rsidRPr="005D30DA">
        <w:tab/>
        <w:t>substitute:</w:t>
      </w:r>
    </w:p>
    <w:p w14:paraId="57CB44B0" w14:textId="77777777" w:rsidR="005D30DA" w:rsidRPr="005D30DA" w:rsidRDefault="005D30DA" w:rsidP="00C7233B">
      <w:pPr>
        <w:pStyle w:val="FSCtMain"/>
        <w:rPr>
          <w:i/>
        </w:rPr>
      </w:pPr>
      <w:r w:rsidRPr="005D30DA">
        <w:rPr>
          <w:i/>
        </w:rPr>
        <w:t>Australian Drinking Water Guidelines 2011</w:t>
      </w:r>
    </w:p>
    <w:p w14:paraId="2C170382" w14:textId="77777777" w:rsidR="005D30DA" w:rsidRPr="005D30DA" w:rsidRDefault="005D30DA" w:rsidP="005D30DA">
      <w:pPr>
        <w:spacing w:before="120" w:after="120"/>
        <w:ind w:left="851" w:hanging="851"/>
        <w:rPr>
          <w:b/>
          <w:sz w:val="20"/>
          <w:szCs w:val="20"/>
          <w:lang w:bidi="ar-SA"/>
        </w:rPr>
      </w:pPr>
    </w:p>
    <w:p w14:paraId="09EE5777" w14:textId="77777777" w:rsidR="005D30DA" w:rsidRPr="005D30DA" w:rsidRDefault="005D30DA" w:rsidP="008D0B75">
      <w:pPr>
        <w:pStyle w:val="FSCDraftingitemheading"/>
      </w:pPr>
      <w:r w:rsidRPr="005D30DA">
        <w:t>Standard 4.2.3</w:t>
      </w:r>
      <w:r w:rsidRPr="005D30DA">
        <w:tab/>
        <w:t>Production and Processing Standard for Meat</w:t>
      </w:r>
    </w:p>
    <w:p w14:paraId="179E1D6A" w14:textId="77777777" w:rsidR="005D30DA" w:rsidRPr="005D30DA" w:rsidRDefault="005D30DA" w:rsidP="008D0B75">
      <w:pPr>
        <w:pStyle w:val="FSCDraftingitemheading"/>
      </w:pPr>
      <w:r w:rsidRPr="005D30DA">
        <w:t>[14]</w:t>
      </w:r>
      <w:r w:rsidRPr="005D30DA">
        <w:tab/>
      </w:r>
      <w:bookmarkStart w:id="87" w:name="_Hlk120637026"/>
      <w:r w:rsidRPr="005D30DA">
        <w:t>Clause 4 (Table 2, editorial note)</w:t>
      </w:r>
    </w:p>
    <w:bookmarkEnd w:id="87"/>
    <w:p w14:paraId="27DB334A" w14:textId="77777777" w:rsidR="005D30DA" w:rsidRPr="005D30DA" w:rsidRDefault="005D30DA" w:rsidP="001145E2">
      <w:pPr>
        <w:pStyle w:val="FSCDraftingitem"/>
      </w:pPr>
      <w:r w:rsidRPr="005D30DA">
        <w:tab/>
        <w:t>Omit:</w:t>
      </w:r>
    </w:p>
    <w:p w14:paraId="1F4B782C" w14:textId="77777777" w:rsidR="005D30DA" w:rsidRPr="005D30DA" w:rsidRDefault="005D30DA" w:rsidP="00C7233B">
      <w:pPr>
        <w:pStyle w:val="FSCtMain"/>
      </w:pPr>
      <w:r w:rsidRPr="005D30DA">
        <w:t>Export Control (Meat and Meat Products) Orders 2005</w:t>
      </w:r>
    </w:p>
    <w:p w14:paraId="2D4E051B" w14:textId="77777777" w:rsidR="005D30DA" w:rsidRPr="005D30DA" w:rsidRDefault="005D30DA" w:rsidP="001145E2">
      <w:pPr>
        <w:pStyle w:val="FSCDraftingitem"/>
      </w:pPr>
      <w:r w:rsidRPr="005D30DA">
        <w:tab/>
        <w:t>substitute:</w:t>
      </w:r>
    </w:p>
    <w:p w14:paraId="25269D79" w14:textId="77777777" w:rsidR="005D30DA" w:rsidRPr="005D30DA" w:rsidRDefault="005D30DA" w:rsidP="00C7233B">
      <w:pPr>
        <w:pStyle w:val="FSCtMain"/>
        <w:rPr>
          <w:i/>
        </w:rPr>
      </w:pPr>
      <w:r w:rsidRPr="005D30DA">
        <w:rPr>
          <w:i/>
        </w:rPr>
        <w:t>Export Control (Meat and Meat Product) Rules 2021</w:t>
      </w:r>
    </w:p>
    <w:p w14:paraId="5573FB6E" w14:textId="77777777" w:rsidR="005D30DA" w:rsidRPr="005D30DA" w:rsidRDefault="005D30DA" w:rsidP="005D30DA">
      <w:pPr>
        <w:spacing w:before="120" w:after="120"/>
        <w:ind w:left="851" w:hanging="851"/>
        <w:rPr>
          <w:b/>
          <w:sz w:val="20"/>
          <w:szCs w:val="20"/>
          <w:lang w:bidi="ar-SA"/>
        </w:rPr>
      </w:pPr>
    </w:p>
    <w:p w14:paraId="5D8187F2" w14:textId="77777777" w:rsidR="005D30DA" w:rsidRPr="005D30DA" w:rsidRDefault="005D30DA" w:rsidP="008D0B75">
      <w:pPr>
        <w:pStyle w:val="FSCDraftingitemheading"/>
      </w:pPr>
      <w:r w:rsidRPr="005D30DA">
        <w:t>Standard 4.2.8</w:t>
      </w:r>
      <w:r w:rsidRPr="005D30DA">
        <w:tab/>
        <w:t>Primary Production and Processing Standard for Leafy Vegetables</w:t>
      </w:r>
    </w:p>
    <w:p w14:paraId="4D4938B6" w14:textId="77777777" w:rsidR="005D30DA" w:rsidRPr="005D30DA" w:rsidRDefault="005D30DA" w:rsidP="008D0B75">
      <w:pPr>
        <w:pStyle w:val="FSCDraftingitemheading"/>
      </w:pPr>
      <w:r w:rsidRPr="005D30DA">
        <w:t>[15]</w:t>
      </w:r>
      <w:r w:rsidRPr="005D30DA">
        <w:tab/>
      </w:r>
      <w:bookmarkStart w:id="88" w:name="_Hlk120637413"/>
      <w:r w:rsidRPr="005D30DA">
        <w:t>Section 4.2.9—8 (section heading)</w:t>
      </w:r>
      <w:bookmarkEnd w:id="88"/>
    </w:p>
    <w:p w14:paraId="0D118A3E" w14:textId="77777777" w:rsidR="005D30DA" w:rsidRPr="005D30DA" w:rsidRDefault="005D30DA" w:rsidP="001145E2">
      <w:pPr>
        <w:pStyle w:val="FSCDraftingitem"/>
      </w:pPr>
      <w:r w:rsidRPr="005D30DA">
        <w:tab/>
        <w:t>Omit “4.2.9—8”, substitute “4.2.8—8”</w:t>
      </w:r>
    </w:p>
    <w:p w14:paraId="74F1241E" w14:textId="77777777" w:rsidR="005D30DA" w:rsidRPr="005D30DA" w:rsidRDefault="005D30DA" w:rsidP="005D30DA">
      <w:pPr>
        <w:spacing w:before="120" w:after="120"/>
        <w:ind w:left="851" w:hanging="851"/>
        <w:rPr>
          <w:b/>
          <w:sz w:val="20"/>
          <w:szCs w:val="20"/>
          <w:lang w:bidi="ar-SA"/>
        </w:rPr>
      </w:pPr>
    </w:p>
    <w:p w14:paraId="62038A8F" w14:textId="77777777" w:rsidR="005D30DA" w:rsidRPr="005D30DA" w:rsidRDefault="005D30DA" w:rsidP="003739E3">
      <w:pPr>
        <w:pStyle w:val="FSCDraftingitemheading"/>
      </w:pPr>
      <w:r w:rsidRPr="005D30DA">
        <w:t>Schedule 3 Identity and purity</w:t>
      </w:r>
    </w:p>
    <w:p w14:paraId="3CE76CF0" w14:textId="77777777" w:rsidR="005D30DA" w:rsidRPr="005D30DA" w:rsidRDefault="005D30DA" w:rsidP="003739E3">
      <w:pPr>
        <w:pStyle w:val="FSCDraftingitemheading"/>
      </w:pPr>
      <w:r w:rsidRPr="005D30DA">
        <w:t>[16]</w:t>
      </w:r>
      <w:r w:rsidRPr="005D30DA">
        <w:tab/>
        <w:t>Subparagraph S3—2(1)(b)(xiv)</w:t>
      </w:r>
    </w:p>
    <w:p w14:paraId="154AF6A0" w14:textId="77777777" w:rsidR="005D30DA" w:rsidRPr="005D30DA" w:rsidRDefault="005D30DA" w:rsidP="003739E3">
      <w:pPr>
        <w:pStyle w:val="FSCDraftingitem"/>
      </w:pPr>
      <w:r w:rsidRPr="005D30DA">
        <w:tab/>
        <w:t>Repeal the subparagraph, substitute:</w:t>
      </w:r>
    </w:p>
    <w:p w14:paraId="77E41DE1" w14:textId="2678612F" w:rsidR="005D30DA" w:rsidRPr="005D30DA" w:rsidRDefault="005D30DA" w:rsidP="00C67049">
      <w:pPr>
        <w:pStyle w:val="FSCtSubpara"/>
        <w:tabs>
          <w:tab w:val="left" w:pos="3686"/>
        </w:tabs>
      </w:pPr>
      <w:r w:rsidRPr="005D30DA">
        <w:tab/>
      </w:r>
      <w:r w:rsidRPr="005D30DA">
        <w:tab/>
      </w:r>
      <w:r w:rsidR="00524463">
        <w:t xml:space="preserve">      </w:t>
      </w:r>
      <w:r w:rsidRPr="005D30DA">
        <w:t>(xiv)</w:t>
      </w:r>
      <w:r w:rsidRPr="005D30DA">
        <w:tab/>
        <w:t>FAO JECFA Monographs 23 (2019);</w:t>
      </w:r>
    </w:p>
    <w:p w14:paraId="055B4511" w14:textId="237A0E1B" w:rsidR="005D30DA" w:rsidRPr="005D30DA" w:rsidRDefault="005D30DA" w:rsidP="00C67049">
      <w:pPr>
        <w:pStyle w:val="FSCtSubpara"/>
        <w:tabs>
          <w:tab w:val="left" w:pos="3686"/>
        </w:tabs>
      </w:pPr>
      <w:r w:rsidRPr="005D30DA">
        <w:tab/>
      </w:r>
      <w:r w:rsidRPr="005D30DA">
        <w:tab/>
      </w:r>
      <w:r w:rsidR="00524463">
        <w:t xml:space="preserve">      </w:t>
      </w:r>
      <w:r w:rsidRPr="005D30DA">
        <w:t>(xv)</w:t>
      </w:r>
      <w:r w:rsidRPr="005D30DA">
        <w:tab/>
        <w:t xml:space="preserve">FAO JECFA Monographs 25 (2020); </w:t>
      </w:r>
    </w:p>
    <w:p w14:paraId="19754843" w14:textId="6EA19BC9" w:rsidR="005D30DA" w:rsidRPr="005D30DA" w:rsidRDefault="005D30DA" w:rsidP="00C67049">
      <w:pPr>
        <w:pStyle w:val="FSCtSubpara"/>
        <w:tabs>
          <w:tab w:val="left" w:pos="3686"/>
        </w:tabs>
      </w:pPr>
      <w:r w:rsidRPr="005D30DA">
        <w:tab/>
      </w:r>
      <w:r w:rsidRPr="005D30DA">
        <w:tab/>
      </w:r>
      <w:r w:rsidR="00524463">
        <w:t xml:space="preserve">      </w:t>
      </w:r>
      <w:r w:rsidRPr="005D30DA">
        <w:t>(xvi)</w:t>
      </w:r>
      <w:r w:rsidRPr="005D30DA">
        <w:tab/>
        <w:t>FAO JECFA Monographs 26 (2021); or</w:t>
      </w:r>
    </w:p>
    <w:p w14:paraId="4361F6D3" w14:textId="77777777" w:rsidR="005D30DA" w:rsidRPr="005D30DA" w:rsidRDefault="005D30DA" w:rsidP="005D30DA">
      <w:pPr>
        <w:widowControl/>
        <w:tabs>
          <w:tab w:val="left" w:pos="851"/>
        </w:tabs>
        <w:spacing w:before="120" w:after="120"/>
        <w:rPr>
          <w:sz w:val="20"/>
          <w:szCs w:val="20"/>
          <w:lang w:bidi="ar-SA"/>
        </w:rPr>
      </w:pPr>
    </w:p>
    <w:p w14:paraId="2046D73E" w14:textId="77777777" w:rsidR="005D30DA" w:rsidRPr="005D30DA" w:rsidRDefault="005D30DA" w:rsidP="003739E3">
      <w:pPr>
        <w:pStyle w:val="FSCDraftingitemheading"/>
      </w:pPr>
      <w:r w:rsidRPr="005D30DA">
        <w:t>[17]</w:t>
      </w:r>
      <w:r w:rsidRPr="005D30DA">
        <w:tab/>
        <w:t>Paragraph S3—2(1)(c)</w:t>
      </w:r>
    </w:p>
    <w:p w14:paraId="58BC3027" w14:textId="77777777" w:rsidR="005D30DA" w:rsidRPr="005D30DA" w:rsidRDefault="005D30DA" w:rsidP="003739E3">
      <w:pPr>
        <w:pStyle w:val="FSCDraftingitem"/>
      </w:pPr>
      <w:r w:rsidRPr="005D30DA">
        <w:tab/>
        <w:t>Repeal the paragraph, substitute:</w:t>
      </w:r>
    </w:p>
    <w:p w14:paraId="46901EB6" w14:textId="77777777" w:rsidR="005D30DA" w:rsidRPr="005D30DA" w:rsidRDefault="005D30DA" w:rsidP="00CE1F13">
      <w:pPr>
        <w:pStyle w:val="FSCtPara"/>
        <w:ind w:left="3119" w:hanging="425"/>
      </w:pPr>
      <w:r w:rsidRPr="005D30DA">
        <w:t>(c)</w:t>
      </w:r>
      <w:r w:rsidRPr="005D30DA">
        <w:tab/>
        <w:t>United States Pharmacopeial Convention (2022) Food chemicals codex. 13th ed, United States Pharmacopeial Convention, Rockville, MD; or</w:t>
      </w:r>
    </w:p>
    <w:p w14:paraId="6D5479F3" w14:textId="77777777" w:rsidR="00C154F0" w:rsidRDefault="00C154F0" w:rsidP="003739E3">
      <w:pPr>
        <w:pStyle w:val="FSCDraftingitemheading"/>
      </w:pPr>
    </w:p>
    <w:p w14:paraId="21F6FE17" w14:textId="2B42CB56" w:rsidR="005D30DA" w:rsidRPr="005D30DA" w:rsidRDefault="005D30DA" w:rsidP="003739E3">
      <w:pPr>
        <w:pStyle w:val="FSCDraftingitemheading"/>
      </w:pPr>
      <w:r w:rsidRPr="005D30DA">
        <w:t>[18]</w:t>
      </w:r>
      <w:r w:rsidRPr="005D30DA">
        <w:tab/>
        <w:t>Paragraph S3—3(j)</w:t>
      </w:r>
    </w:p>
    <w:p w14:paraId="1B7E8742" w14:textId="77777777" w:rsidR="005D30DA" w:rsidRPr="005D30DA" w:rsidRDefault="005D30DA" w:rsidP="003739E3">
      <w:pPr>
        <w:pStyle w:val="FSCDraftingitem"/>
      </w:pPr>
      <w:r w:rsidRPr="005D30DA">
        <w:tab/>
        <w:t>Repeal the paragraph, substitute:</w:t>
      </w:r>
    </w:p>
    <w:p w14:paraId="6017ACB7" w14:textId="77777777" w:rsidR="005D30DA" w:rsidRPr="005D30DA" w:rsidRDefault="005D30DA" w:rsidP="00CE1F13">
      <w:pPr>
        <w:pStyle w:val="FSCtPara"/>
        <w:ind w:left="3119" w:hanging="425"/>
      </w:pPr>
      <w:r w:rsidRPr="005D30DA">
        <w:t>(j)</w:t>
      </w:r>
      <w:r w:rsidRPr="005D30DA">
        <w:tab/>
        <w:t xml:space="preserve">the International Oenological Codex (2022), Organisation Internationale de la </w:t>
      </w:r>
      <w:proofErr w:type="spellStart"/>
      <w:r w:rsidRPr="005D30DA">
        <w:t>Vigne</w:t>
      </w:r>
      <w:proofErr w:type="spellEnd"/>
      <w:r w:rsidRPr="005D30DA">
        <w:t xml:space="preserve"> et du Vin (OIV).</w:t>
      </w:r>
    </w:p>
    <w:p w14:paraId="0749DC19" w14:textId="77777777" w:rsidR="005D30DA" w:rsidRPr="005D30DA" w:rsidRDefault="005D30DA" w:rsidP="005D30DA">
      <w:pPr>
        <w:widowControl/>
        <w:tabs>
          <w:tab w:val="left" w:pos="993"/>
        </w:tabs>
        <w:spacing w:before="120" w:after="120"/>
        <w:ind w:left="1701" w:hanging="1701"/>
        <w:rPr>
          <w:sz w:val="20"/>
          <w:szCs w:val="20"/>
          <w:lang w:bidi="ar-SA"/>
        </w:rPr>
      </w:pPr>
    </w:p>
    <w:p w14:paraId="378D68F9" w14:textId="77777777" w:rsidR="005D30DA" w:rsidRPr="005D30DA" w:rsidRDefault="005D30DA" w:rsidP="003739E3">
      <w:pPr>
        <w:pStyle w:val="FSCDraftingitemheading"/>
      </w:pPr>
      <w:r w:rsidRPr="005D30DA">
        <w:t>[19]</w:t>
      </w:r>
      <w:r w:rsidRPr="005D30DA">
        <w:tab/>
        <w:t>Sections S3—13 (heading), S3—21 (heading), S3—22 (heading)</w:t>
      </w:r>
    </w:p>
    <w:p w14:paraId="4700F3A5" w14:textId="77777777" w:rsidR="005D30DA" w:rsidRPr="005D30DA" w:rsidRDefault="005D30DA" w:rsidP="003739E3">
      <w:pPr>
        <w:pStyle w:val="FSCDraftingitem"/>
      </w:pPr>
      <w:r w:rsidRPr="005D30DA">
        <w:tab/>
        <w:t>Omit “</w:t>
      </w:r>
      <w:r w:rsidRPr="005D30DA">
        <w:rPr>
          <w:i/>
          <w:iCs/>
        </w:rPr>
        <w:t>sp</w:t>
      </w:r>
      <w:r w:rsidRPr="005D30DA">
        <w:t>.”, substitute “sp.”</w:t>
      </w:r>
    </w:p>
    <w:p w14:paraId="4C1C5894" w14:textId="77777777" w:rsidR="005D30DA" w:rsidRPr="005D30DA" w:rsidRDefault="005D30DA" w:rsidP="005D30DA">
      <w:pPr>
        <w:spacing w:before="120" w:after="120"/>
        <w:ind w:left="851" w:hanging="851"/>
        <w:rPr>
          <w:b/>
          <w:sz w:val="20"/>
          <w:szCs w:val="20"/>
          <w:lang w:bidi="ar-SA"/>
        </w:rPr>
      </w:pPr>
    </w:p>
    <w:p w14:paraId="767EFABB" w14:textId="77777777" w:rsidR="005D30DA" w:rsidRPr="005D30DA" w:rsidRDefault="005D30DA" w:rsidP="001D068F">
      <w:pPr>
        <w:pStyle w:val="FSCDraftingitemheading"/>
      </w:pPr>
      <w:r w:rsidRPr="005D30DA">
        <w:t>[20]</w:t>
      </w:r>
      <w:r w:rsidRPr="005D30DA">
        <w:tab/>
        <w:t>Subparagraphs S3—14(2)(f)(iv) and S3—41(q)(v)</w:t>
      </w:r>
    </w:p>
    <w:p w14:paraId="0065D764" w14:textId="77777777" w:rsidR="005D30DA" w:rsidRPr="005D30DA" w:rsidRDefault="005D30DA" w:rsidP="008C592F">
      <w:pPr>
        <w:pStyle w:val="FSCDraftingitem"/>
      </w:pPr>
      <w:r w:rsidRPr="005D30DA">
        <w:tab/>
        <w:t>Omit “</w:t>
      </w:r>
      <w:r w:rsidRPr="005D30DA">
        <w:rPr>
          <w:i/>
          <w:iCs/>
        </w:rPr>
        <w:t>listeria</w:t>
      </w:r>
      <w:r w:rsidRPr="005D30DA">
        <w:t>”, substitute “</w:t>
      </w:r>
      <w:r w:rsidRPr="005D30DA">
        <w:rPr>
          <w:i/>
          <w:iCs/>
        </w:rPr>
        <w:t>Listeria</w:t>
      </w:r>
      <w:r w:rsidRPr="005D30DA">
        <w:t>”</w:t>
      </w:r>
    </w:p>
    <w:p w14:paraId="5E04C9C1" w14:textId="77777777" w:rsidR="005D30DA" w:rsidRPr="005D30DA" w:rsidRDefault="005D30DA" w:rsidP="005D30DA">
      <w:pPr>
        <w:widowControl/>
        <w:tabs>
          <w:tab w:val="left" w:pos="851"/>
        </w:tabs>
        <w:spacing w:before="120" w:after="120"/>
        <w:rPr>
          <w:sz w:val="20"/>
          <w:szCs w:val="20"/>
          <w:lang w:bidi="ar-SA"/>
        </w:rPr>
      </w:pPr>
    </w:p>
    <w:p w14:paraId="78BCD451" w14:textId="77777777" w:rsidR="005D30DA" w:rsidRPr="005D30DA" w:rsidRDefault="005D30DA" w:rsidP="001D068F">
      <w:pPr>
        <w:pStyle w:val="FSCDraftingitemheading"/>
      </w:pPr>
      <w:r w:rsidRPr="005D30DA">
        <w:t>[21]</w:t>
      </w:r>
      <w:r w:rsidRPr="005D30DA">
        <w:tab/>
        <w:t>Subparagraphs S3—14(2)(f)(vi) and S3—41(q)(vi)</w:t>
      </w:r>
    </w:p>
    <w:p w14:paraId="7F2A2288" w14:textId="77777777" w:rsidR="005D30DA" w:rsidRPr="005D30DA" w:rsidRDefault="005D30DA" w:rsidP="008C592F">
      <w:pPr>
        <w:pStyle w:val="FSCDraftingitem"/>
      </w:pPr>
      <w:r w:rsidRPr="005D30DA">
        <w:tab/>
      </w:r>
      <w:bookmarkStart w:id="89" w:name="_Hlk120290070"/>
      <w:r w:rsidRPr="005D30DA">
        <w:t>Omit</w:t>
      </w:r>
      <w:bookmarkEnd w:id="89"/>
      <w:r w:rsidRPr="005D30DA">
        <w:t xml:space="preserve"> “</w:t>
      </w:r>
      <w:r w:rsidRPr="005D30DA">
        <w:rPr>
          <w:i/>
          <w:iCs/>
        </w:rPr>
        <w:t>bacillus cereus</w:t>
      </w:r>
      <w:r w:rsidRPr="005D30DA">
        <w:t>”, substitute “</w:t>
      </w:r>
      <w:r w:rsidRPr="005D30DA">
        <w:rPr>
          <w:i/>
          <w:iCs/>
        </w:rPr>
        <w:t>Bacillus cereus</w:t>
      </w:r>
      <w:r w:rsidRPr="005D30DA">
        <w:t>”</w:t>
      </w:r>
    </w:p>
    <w:p w14:paraId="0E7BA608" w14:textId="77777777" w:rsidR="005D30DA" w:rsidRPr="005D30DA" w:rsidRDefault="005D30DA" w:rsidP="005D30DA">
      <w:pPr>
        <w:widowControl/>
        <w:tabs>
          <w:tab w:val="left" w:pos="851"/>
        </w:tabs>
        <w:spacing w:before="120" w:after="120"/>
        <w:rPr>
          <w:sz w:val="20"/>
          <w:szCs w:val="20"/>
          <w:lang w:bidi="ar-SA"/>
        </w:rPr>
      </w:pPr>
    </w:p>
    <w:p w14:paraId="389D46AA" w14:textId="51A56268" w:rsidR="005D30DA" w:rsidRPr="005D30DA" w:rsidRDefault="005D30DA" w:rsidP="001D068F">
      <w:pPr>
        <w:pStyle w:val="FSCDraftingitemheading"/>
      </w:pPr>
      <w:r w:rsidRPr="005D30DA">
        <w:t>[22]</w:t>
      </w:r>
      <w:r w:rsidRPr="005D30DA">
        <w:tab/>
        <w:t>Subparagraphs S3—18(</w:t>
      </w:r>
      <w:proofErr w:type="spellStart"/>
      <w:r w:rsidRPr="005D30DA">
        <w:t>i</w:t>
      </w:r>
      <w:proofErr w:type="spellEnd"/>
      <w:r w:rsidRPr="005D30DA">
        <w:t>)(iv), S3—26(l)(iii), S3—27(2)(d)(v) and S3—41(q)(</w:t>
      </w:r>
      <w:proofErr w:type="spellStart"/>
      <w:r w:rsidRPr="005D30DA">
        <w:t>i</w:t>
      </w:r>
      <w:proofErr w:type="spellEnd"/>
      <w:r w:rsidRPr="005D30DA">
        <w:t>)</w:t>
      </w:r>
    </w:p>
    <w:p w14:paraId="04ACC5B9" w14:textId="77777777" w:rsidR="005D30DA" w:rsidRPr="005D30DA" w:rsidRDefault="005D30DA" w:rsidP="008C592F">
      <w:pPr>
        <w:pStyle w:val="FSCDraftingitem"/>
      </w:pPr>
      <w:r w:rsidRPr="005D30DA">
        <w:tab/>
        <w:t>Omit “</w:t>
      </w:r>
      <w:r w:rsidRPr="005D30DA">
        <w:rPr>
          <w:i/>
          <w:iCs/>
        </w:rPr>
        <w:t>salmonella</w:t>
      </w:r>
      <w:r w:rsidRPr="005D30DA">
        <w:t>”, substitute “</w:t>
      </w:r>
      <w:r w:rsidRPr="005D30DA">
        <w:rPr>
          <w:i/>
          <w:iCs/>
        </w:rPr>
        <w:t>Salmonella</w:t>
      </w:r>
      <w:r w:rsidRPr="005D30DA">
        <w:t>”</w:t>
      </w:r>
    </w:p>
    <w:p w14:paraId="7329F523" w14:textId="77777777" w:rsidR="005D30DA" w:rsidRPr="005D30DA" w:rsidRDefault="005D30DA" w:rsidP="005D30DA">
      <w:pPr>
        <w:widowControl/>
        <w:tabs>
          <w:tab w:val="left" w:pos="851"/>
        </w:tabs>
        <w:spacing w:before="120" w:after="120"/>
        <w:rPr>
          <w:sz w:val="20"/>
          <w:szCs w:val="20"/>
          <w:lang w:bidi="ar-SA"/>
        </w:rPr>
      </w:pPr>
    </w:p>
    <w:p w14:paraId="2BAE42FE" w14:textId="77777777" w:rsidR="005D30DA" w:rsidRPr="005D30DA" w:rsidRDefault="005D30DA" w:rsidP="001D068F">
      <w:pPr>
        <w:pStyle w:val="FSCDraftingitemheading"/>
      </w:pPr>
      <w:r w:rsidRPr="005D30DA">
        <w:t>[23]</w:t>
      </w:r>
      <w:r w:rsidRPr="005D30DA">
        <w:tab/>
      </w:r>
      <w:bookmarkStart w:id="90" w:name="_Hlk120637806"/>
      <w:r w:rsidRPr="005D30DA">
        <w:t>Subparagraphs S3—26(l)(</w:t>
      </w:r>
      <w:proofErr w:type="spellStart"/>
      <w:r w:rsidRPr="005D30DA">
        <w:t>i</w:t>
      </w:r>
      <w:proofErr w:type="spellEnd"/>
      <w:r w:rsidRPr="005D30DA">
        <w:t>) and S3—44(2)(h)(</w:t>
      </w:r>
      <w:proofErr w:type="spellStart"/>
      <w:r w:rsidRPr="005D30DA">
        <w:t>i</w:t>
      </w:r>
      <w:proofErr w:type="spellEnd"/>
      <w:r w:rsidRPr="005D30DA">
        <w:t>)</w:t>
      </w:r>
      <w:bookmarkEnd w:id="90"/>
    </w:p>
    <w:p w14:paraId="574CC6BD" w14:textId="77777777" w:rsidR="005D30DA" w:rsidRPr="005D30DA" w:rsidRDefault="005D30DA" w:rsidP="008C592F">
      <w:pPr>
        <w:pStyle w:val="FSCDraftingitem"/>
      </w:pPr>
      <w:r w:rsidRPr="005D30DA">
        <w:tab/>
        <w:t>Omit “standard plate count”, substitute “*SPC”</w:t>
      </w:r>
    </w:p>
    <w:p w14:paraId="377130E7" w14:textId="77777777" w:rsidR="005D30DA" w:rsidRPr="005D30DA" w:rsidRDefault="005D30DA" w:rsidP="005D30DA">
      <w:pPr>
        <w:widowControl/>
        <w:tabs>
          <w:tab w:val="left" w:pos="851"/>
        </w:tabs>
        <w:spacing w:before="120" w:after="120"/>
        <w:rPr>
          <w:sz w:val="20"/>
          <w:szCs w:val="20"/>
          <w:lang w:bidi="ar-SA"/>
        </w:rPr>
      </w:pPr>
    </w:p>
    <w:p w14:paraId="0C6DEB82" w14:textId="77777777" w:rsidR="005D30DA" w:rsidRPr="005D30DA" w:rsidRDefault="005D30DA" w:rsidP="001D068F">
      <w:pPr>
        <w:pStyle w:val="FSCDraftingitemheading"/>
      </w:pPr>
      <w:bookmarkStart w:id="91" w:name="_Hlk112837822"/>
      <w:r w:rsidRPr="005D30DA">
        <w:t>[24]</w:t>
      </w:r>
      <w:r w:rsidRPr="005D30DA">
        <w:tab/>
        <w:t xml:space="preserve">Subparagraphs S3—27(2)(d)(iv) and S3—39(A)(d)(ii) </w:t>
      </w:r>
    </w:p>
    <w:bookmarkEnd w:id="91"/>
    <w:p w14:paraId="6FF088AE" w14:textId="77777777" w:rsidR="005D30DA" w:rsidRPr="005D30DA" w:rsidRDefault="005D30DA" w:rsidP="008C592F">
      <w:pPr>
        <w:pStyle w:val="FSCDraftingitem"/>
      </w:pPr>
      <w:r w:rsidRPr="005D30DA">
        <w:tab/>
        <w:t>Omit “</w:t>
      </w:r>
      <w:r w:rsidRPr="005D30DA">
        <w:rPr>
          <w:i/>
          <w:iCs/>
        </w:rPr>
        <w:t>E. coli</w:t>
      </w:r>
      <w:r w:rsidRPr="005D30DA">
        <w:t>”, substitute “</w:t>
      </w:r>
      <w:r w:rsidRPr="005D30DA">
        <w:rPr>
          <w:i/>
          <w:iCs/>
        </w:rPr>
        <w:t>Escherichia coli</w:t>
      </w:r>
      <w:r w:rsidRPr="005D30DA">
        <w:t>”</w:t>
      </w:r>
    </w:p>
    <w:p w14:paraId="79B86CB9" w14:textId="77777777" w:rsidR="005D30DA" w:rsidRPr="005D30DA" w:rsidRDefault="005D30DA" w:rsidP="005D30DA">
      <w:pPr>
        <w:spacing w:before="120" w:after="120"/>
        <w:ind w:left="851" w:hanging="851"/>
        <w:rPr>
          <w:b/>
          <w:sz w:val="20"/>
          <w:szCs w:val="20"/>
          <w:lang w:bidi="ar-SA"/>
        </w:rPr>
      </w:pPr>
    </w:p>
    <w:p w14:paraId="332FFC9B" w14:textId="77777777" w:rsidR="005D30DA" w:rsidRPr="005D30DA" w:rsidRDefault="005D30DA" w:rsidP="001D068F">
      <w:pPr>
        <w:pStyle w:val="FSCDraftingitemheading"/>
      </w:pPr>
      <w:r w:rsidRPr="005D30DA">
        <w:t>[25]</w:t>
      </w:r>
      <w:r w:rsidRPr="005D30DA">
        <w:tab/>
        <w:t>Subparagraph S3—41(q)(iii)</w:t>
      </w:r>
    </w:p>
    <w:p w14:paraId="52FA827A" w14:textId="77777777" w:rsidR="005D30DA" w:rsidRPr="005D30DA" w:rsidRDefault="005D30DA" w:rsidP="000602A6">
      <w:pPr>
        <w:pStyle w:val="FSCDraftingitem"/>
      </w:pPr>
      <w:r w:rsidRPr="005D30DA">
        <w:tab/>
        <w:t>Omit “</w:t>
      </w:r>
      <w:proofErr w:type="spellStart"/>
      <w:r w:rsidRPr="005D30DA">
        <w:t>enterobacteriaceae</w:t>
      </w:r>
      <w:proofErr w:type="spellEnd"/>
      <w:r w:rsidRPr="005D30DA">
        <w:t>”, substitute “</w:t>
      </w:r>
      <w:r w:rsidRPr="005D30DA">
        <w:rPr>
          <w:i/>
          <w:iCs/>
        </w:rPr>
        <w:t>Enterobacteriaceae</w:t>
      </w:r>
      <w:r w:rsidRPr="005D30DA">
        <w:t>”</w:t>
      </w:r>
    </w:p>
    <w:p w14:paraId="6F6C56B0" w14:textId="77777777" w:rsidR="005D30DA" w:rsidRPr="005D30DA" w:rsidRDefault="005D30DA" w:rsidP="005D30DA">
      <w:pPr>
        <w:widowControl/>
        <w:tabs>
          <w:tab w:val="left" w:pos="851"/>
        </w:tabs>
        <w:spacing w:before="120" w:after="120"/>
        <w:rPr>
          <w:sz w:val="20"/>
          <w:szCs w:val="20"/>
          <w:lang w:bidi="ar-SA"/>
        </w:rPr>
      </w:pPr>
    </w:p>
    <w:p w14:paraId="2A468C02" w14:textId="77777777" w:rsidR="005D30DA" w:rsidRPr="005D30DA" w:rsidRDefault="005D30DA" w:rsidP="001D068F">
      <w:pPr>
        <w:pStyle w:val="FSCDraftingitemheading"/>
      </w:pPr>
      <w:r w:rsidRPr="005D30DA">
        <w:t>[26]</w:t>
      </w:r>
      <w:r w:rsidRPr="005D30DA">
        <w:tab/>
        <w:t>Subparagraph S3—41(q)(iv)</w:t>
      </w:r>
    </w:p>
    <w:p w14:paraId="6F75FC1F" w14:textId="77777777" w:rsidR="005D30DA" w:rsidRPr="005D30DA" w:rsidRDefault="005D30DA" w:rsidP="000602A6">
      <w:pPr>
        <w:pStyle w:val="FSCDraftingitem"/>
      </w:pPr>
      <w:r w:rsidRPr="005D30DA">
        <w:tab/>
        <w:t>Omit “</w:t>
      </w:r>
      <w:proofErr w:type="spellStart"/>
      <w:r w:rsidRPr="005D30DA">
        <w:rPr>
          <w:i/>
          <w:iCs/>
        </w:rPr>
        <w:t>cronobacter</w:t>
      </w:r>
      <w:proofErr w:type="spellEnd"/>
      <w:r w:rsidRPr="005D30DA">
        <w:t>”, substitute “</w:t>
      </w:r>
      <w:proofErr w:type="spellStart"/>
      <w:r w:rsidRPr="005D30DA">
        <w:rPr>
          <w:i/>
          <w:iCs/>
        </w:rPr>
        <w:t>Cronobacter</w:t>
      </w:r>
      <w:proofErr w:type="spellEnd"/>
      <w:r w:rsidRPr="005D30DA">
        <w:t>”</w:t>
      </w:r>
    </w:p>
    <w:p w14:paraId="1C561179" w14:textId="77777777" w:rsidR="005D30DA" w:rsidRPr="005D30DA" w:rsidRDefault="005D30DA" w:rsidP="005D30DA">
      <w:pPr>
        <w:spacing w:before="120" w:after="120"/>
        <w:ind w:left="851" w:hanging="851"/>
        <w:rPr>
          <w:b/>
          <w:sz w:val="20"/>
          <w:szCs w:val="20"/>
          <w:lang w:bidi="ar-SA"/>
        </w:rPr>
      </w:pPr>
    </w:p>
    <w:p w14:paraId="2CE90B20" w14:textId="77777777" w:rsidR="005D30DA" w:rsidRPr="005D30DA" w:rsidRDefault="005D30DA" w:rsidP="001D068F">
      <w:pPr>
        <w:pStyle w:val="FSCDraftingitemheading"/>
      </w:pPr>
      <w:r w:rsidRPr="005D30DA">
        <w:t>[27]</w:t>
      </w:r>
      <w:r w:rsidRPr="005D30DA">
        <w:tab/>
        <w:t>Paragraph S3—42(n)</w:t>
      </w:r>
      <w:r w:rsidRPr="005D30DA">
        <w:tab/>
      </w:r>
    </w:p>
    <w:p w14:paraId="035C9F00" w14:textId="77777777" w:rsidR="005D30DA" w:rsidRPr="005D30DA" w:rsidRDefault="005D30DA" w:rsidP="000602A6">
      <w:pPr>
        <w:pStyle w:val="FSCDraftingitem"/>
      </w:pPr>
      <w:r w:rsidRPr="005D30DA">
        <w:tab/>
        <w:t>Repeal the paragraph, substitute:</w:t>
      </w:r>
    </w:p>
    <w:p w14:paraId="134C6459" w14:textId="688F0761" w:rsidR="005D30DA" w:rsidRPr="005D30DA" w:rsidRDefault="005D30DA" w:rsidP="00005980">
      <w:pPr>
        <w:pStyle w:val="FSCtPara"/>
        <w:ind w:left="2552"/>
      </w:pPr>
      <w:r w:rsidRPr="005D30DA">
        <w:tab/>
      </w:r>
      <w:r w:rsidRPr="005D30DA">
        <w:tab/>
      </w:r>
      <w:r w:rsidR="00005980">
        <w:t xml:space="preserve"> </w:t>
      </w:r>
      <w:r w:rsidRPr="005D30DA">
        <w:t>(n)</w:t>
      </w:r>
      <w:r w:rsidRPr="005D30DA">
        <w:tab/>
        <w:t>microbiological:</w:t>
      </w:r>
    </w:p>
    <w:p w14:paraId="74B25749" w14:textId="77777777" w:rsidR="005D30DA" w:rsidRPr="005D30DA" w:rsidRDefault="005D30DA" w:rsidP="00005980">
      <w:pPr>
        <w:pStyle w:val="FSCtSubpara"/>
        <w:ind w:left="3261" w:hanging="3261"/>
      </w:pPr>
      <w:r w:rsidRPr="005D30DA">
        <w:tab/>
      </w:r>
      <w:r w:rsidRPr="005D30DA">
        <w:tab/>
      </w:r>
      <w:r w:rsidRPr="005D30DA">
        <w:tab/>
        <w:t>(</w:t>
      </w:r>
      <w:proofErr w:type="spellStart"/>
      <w:r w:rsidRPr="005D30DA">
        <w:t>i</w:t>
      </w:r>
      <w:proofErr w:type="spellEnd"/>
      <w:r w:rsidRPr="005D30DA">
        <w:t xml:space="preserve">)    </w:t>
      </w:r>
      <w:r w:rsidRPr="005D30DA">
        <w:rPr>
          <w:i/>
          <w:iCs w:val="0"/>
        </w:rPr>
        <w:t>Escherichia coli</w:t>
      </w:r>
      <w:r w:rsidRPr="005D30DA">
        <w:t>—negative to test;</w:t>
      </w:r>
    </w:p>
    <w:p w14:paraId="78CB8B1F" w14:textId="77777777" w:rsidR="005D30DA" w:rsidRPr="005D30DA" w:rsidRDefault="005D30DA" w:rsidP="00005980">
      <w:pPr>
        <w:pStyle w:val="FSCtSubpara"/>
        <w:ind w:left="3402" w:hanging="3402"/>
      </w:pPr>
      <w:r w:rsidRPr="005D30DA">
        <w:tab/>
      </w:r>
      <w:r w:rsidRPr="005D30DA">
        <w:tab/>
      </w:r>
      <w:r w:rsidRPr="005D30DA">
        <w:tab/>
        <w:t xml:space="preserve">(ii)   </w:t>
      </w:r>
      <w:r w:rsidRPr="005D30DA">
        <w:rPr>
          <w:i/>
          <w:iCs w:val="0"/>
        </w:rPr>
        <w:t>Salmonella</w:t>
      </w:r>
      <w:r w:rsidRPr="005D30DA">
        <w:t xml:space="preserve"> spp.—negative to test;</w:t>
      </w:r>
    </w:p>
    <w:p w14:paraId="33A50AFD" w14:textId="77777777" w:rsidR="005D30DA" w:rsidRPr="005D30DA" w:rsidRDefault="005D30DA" w:rsidP="00005980">
      <w:pPr>
        <w:pStyle w:val="FSCtSubpara"/>
        <w:ind w:left="3119" w:hanging="3119"/>
      </w:pPr>
      <w:r w:rsidRPr="005D30DA">
        <w:tab/>
      </w:r>
      <w:r w:rsidRPr="005D30DA">
        <w:tab/>
      </w:r>
      <w:r w:rsidRPr="005D30DA">
        <w:tab/>
        <w:t xml:space="preserve">(iii)   </w:t>
      </w:r>
      <w:r w:rsidRPr="005D30DA">
        <w:rPr>
          <w:i/>
          <w:iCs w:val="0"/>
        </w:rPr>
        <w:t>Listeria monocytogenes</w:t>
      </w:r>
      <w:r w:rsidRPr="005D30DA">
        <w:t>—negative to test.</w:t>
      </w:r>
    </w:p>
    <w:p w14:paraId="5DA366F2" w14:textId="77777777" w:rsidR="005D30DA" w:rsidRPr="005D30DA" w:rsidRDefault="005D30DA" w:rsidP="005D30DA">
      <w:pPr>
        <w:widowControl/>
        <w:tabs>
          <w:tab w:val="left" w:pos="851"/>
        </w:tabs>
        <w:spacing w:before="120" w:after="120"/>
        <w:rPr>
          <w:sz w:val="20"/>
          <w:szCs w:val="20"/>
          <w:lang w:bidi="ar-SA"/>
        </w:rPr>
      </w:pPr>
    </w:p>
    <w:p w14:paraId="60B1465A" w14:textId="77777777" w:rsidR="005D30DA" w:rsidRPr="005D30DA" w:rsidRDefault="005D30DA" w:rsidP="001D068F">
      <w:pPr>
        <w:pStyle w:val="FSCDraftingitemheading"/>
        <w:rPr>
          <w:bCs/>
        </w:rPr>
      </w:pPr>
      <w:r w:rsidRPr="005D30DA">
        <w:t>[28]</w:t>
      </w:r>
      <w:r w:rsidRPr="005D30DA">
        <w:tab/>
        <w:t>Paragraph S3—43(a)</w:t>
      </w:r>
    </w:p>
    <w:p w14:paraId="0BE4CEE1" w14:textId="77777777" w:rsidR="005D30DA" w:rsidRPr="005D30DA" w:rsidRDefault="005D30DA" w:rsidP="000602A6">
      <w:pPr>
        <w:pStyle w:val="FSCDraftingitem"/>
      </w:pPr>
      <w:r w:rsidRPr="005D30DA">
        <w:tab/>
        <w:t>Repeal the paragraph, substitute:</w:t>
      </w:r>
    </w:p>
    <w:p w14:paraId="63E13B98" w14:textId="59363C86" w:rsidR="005D30DA" w:rsidRPr="005D30DA" w:rsidRDefault="005D30DA" w:rsidP="00444F44">
      <w:pPr>
        <w:pStyle w:val="FSCtPara"/>
      </w:pPr>
      <w:r w:rsidRPr="005D30DA">
        <w:tab/>
      </w:r>
      <w:r w:rsidRPr="005D30DA">
        <w:tab/>
      </w:r>
      <w:r w:rsidR="00255981">
        <w:tab/>
      </w:r>
      <w:r w:rsidR="00255981">
        <w:tab/>
      </w:r>
      <w:r w:rsidRPr="005D30DA">
        <w:t>(a)</w:t>
      </w:r>
      <w:r w:rsidRPr="005D30DA">
        <w:tab/>
        <w:t>CAS number—2205009-17-0;</w:t>
      </w:r>
    </w:p>
    <w:p w14:paraId="52B8165A" w14:textId="77777777" w:rsidR="005D30DA" w:rsidRPr="005D30DA" w:rsidRDefault="005D30DA" w:rsidP="005D30DA">
      <w:pPr>
        <w:spacing w:before="120" w:after="120"/>
        <w:ind w:left="851" w:hanging="851"/>
        <w:rPr>
          <w:b/>
          <w:sz w:val="20"/>
          <w:szCs w:val="20"/>
          <w:lang w:bidi="ar-SA"/>
        </w:rPr>
      </w:pPr>
    </w:p>
    <w:p w14:paraId="7B3E5641" w14:textId="77777777" w:rsidR="005D30DA" w:rsidRPr="005D30DA" w:rsidRDefault="005D30DA" w:rsidP="00B728C6">
      <w:pPr>
        <w:pStyle w:val="FSCDraftingitemheading"/>
      </w:pPr>
      <w:r w:rsidRPr="005D30DA">
        <w:t>[29]</w:t>
      </w:r>
      <w:r w:rsidRPr="005D30DA">
        <w:tab/>
        <w:t>Subparagraph S3—44(2)(h)(iii)</w:t>
      </w:r>
    </w:p>
    <w:p w14:paraId="217FFA78" w14:textId="77777777" w:rsidR="005D30DA" w:rsidRPr="005D30DA" w:rsidRDefault="005D30DA" w:rsidP="000602A6">
      <w:pPr>
        <w:pStyle w:val="FSCDraftingitem"/>
      </w:pPr>
      <w:r w:rsidRPr="005D30DA">
        <w:rPr>
          <w:b/>
        </w:rPr>
        <w:tab/>
      </w:r>
      <w:r w:rsidRPr="005D30DA">
        <w:t>Omit “Escherichia coli”, substitute “</w:t>
      </w:r>
      <w:r w:rsidRPr="005D30DA">
        <w:rPr>
          <w:i/>
          <w:iCs/>
        </w:rPr>
        <w:t>Escherichia coli</w:t>
      </w:r>
      <w:r w:rsidRPr="005D30DA">
        <w:t>”</w:t>
      </w:r>
    </w:p>
    <w:p w14:paraId="45B89500" w14:textId="77777777" w:rsidR="005D30DA" w:rsidRPr="005D30DA" w:rsidRDefault="005D30DA" w:rsidP="005D30DA">
      <w:pPr>
        <w:widowControl/>
        <w:tabs>
          <w:tab w:val="left" w:pos="851"/>
        </w:tabs>
        <w:spacing w:before="120" w:after="120"/>
        <w:rPr>
          <w:sz w:val="20"/>
          <w:szCs w:val="20"/>
          <w:lang w:bidi="ar-SA"/>
        </w:rPr>
      </w:pPr>
    </w:p>
    <w:p w14:paraId="41F7994D" w14:textId="77777777" w:rsidR="00157CEC" w:rsidRDefault="00157CEC" w:rsidP="00B728C6">
      <w:pPr>
        <w:pStyle w:val="FSCDraftingitemheading"/>
      </w:pPr>
    </w:p>
    <w:p w14:paraId="4D22173F" w14:textId="77777777" w:rsidR="00157CEC" w:rsidRDefault="00157CEC" w:rsidP="00B728C6">
      <w:pPr>
        <w:pStyle w:val="FSCDraftingitemheading"/>
      </w:pPr>
    </w:p>
    <w:p w14:paraId="265E3256" w14:textId="77777777" w:rsidR="00157CEC" w:rsidRDefault="00157CEC" w:rsidP="00B728C6">
      <w:pPr>
        <w:pStyle w:val="FSCDraftingitemheading"/>
      </w:pPr>
    </w:p>
    <w:p w14:paraId="3D0C512C" w14:textId="77777777" w:rsidR="00157CEC" w:rsidRDefault="00157CEC" w:rsidP="00B728C6">
      <w:pPr>
        <w:pStyle w:val="FSCDraftingitemheading"/>
      </w:pPr>
    </w:p>
    <w:p w14:paraId="6E722FDB" w14:textId="06BDDE78" w:rsidR="005D30DA" w:rsidRPr="005D30DA" w:rsidRDefault="005D30DA" w:rsidP="00B728C6">
      <w:pPr>
        <w:pStyle w:val="FSCDraftingitemheading"/>
      </w:pPr>
      <w:r w:rsidRPr="005D30DA">
        <w:t>Schedule 14 Technological purposes performed by substances used as food additives</w:t>
      </w:r>
    </w:p>
    <w:p w14:paraId="2DA2CBF6" w14:textId="77777777" w:rsidR="005D30DA" w:rsidRPr="005D30DA" w:rsidRDefault="005D30DA" w:rsidP="00B728C6">
      <w:pPr>
        <w:pStyle w:val="FSCDraftingitemheading"/>
      </w:pPr>
      <w:r w:rsidRPr="005D30DA">
        <w:t>[30]</w:t>
      </w:r>
      <w:r w:rsidRPr="005D30DA">
        <w:tab/>
        <w:t>Section S14—2 (table entry “Preservative”, column 2)</w:t>
      </w:r>
    </w:p>
    <w:p w14:paraId="59776951" w14:textId="77777777" w:rsidR="005D30DA" w:rsidRPr="005D30DA" w:rsidRDefault="005D30DA" w:rsidP="00323ECA">
      <w:pPr>
        <w:pStyle w:val="FSCDraftingitem"/>
      </w:pPr>
      <w:r w:rsidRPr="005D30DA">
        <w:tab/>
      </w:r>
      <w:bookmarkStart w:id="92" w:name="_Hlk118365976"/>
      <w:r w:rsidRPr="005D30DA">
        <w:t>Omit:</w:t>
      </w:r>
    </w:p>
    <w:p w14:paraId="5510372B" w14:textId="77777777" w:rsidR="005D30DA" w:rsidRPr="005D30DA" w:rsidRDefault="005D30DA" w:rsidP="00AA470A">
      <w:pPr>
        <w:pStyle w:val="FSCtblMain"/>
      </w:pPr>
      <w:r w:rsidRPr="005D30DA">
        <w:t xml:space="preserve">anti-microbial preservative, anti-mycotic agent, </w:t>
      </w:r>
    </w:p>
    <w:p w14:paraId="6A21584A" w14:textId="77777777" w:rsidR="005D30DA" w:rsidRPr="005D30DA" w:rsidRDefault="005D30DA" w:rsidP="00323ECA">
      <w:pPr>
        <w:pStyle w:val="FSCDraftingitem"/>
      </w:pPr>
      <w:r w:rsidRPr="005D30DA">
        <w:tab/>
        <w:t>substitute:</w:t>
      </w:r>
    </w:p>
    <w:p w14:paraId="1C450FC3" w14:textId="77777777" w:rsidR="005D30DA" w:rsidRPr="005D30DA" w:rsidRDefault="005D30DA" w:rsidP="00AA470A">
      <w:pPr>
        <w:pStyle w:val="FSCtblMain"/>
      </w:pPr>
      <w:r w:rsidRPr="005D30DA">
        <w:t xml:space="preserve">antimicrobial preservative, antimycotic agent, </w:t>
      </w:r>
      <w:bookmarkEnd w:id="92"/>
    </w:p>
    <w:p w14:paraId="207A6F81" w14:textId="77777777" w:rsidR="005D30DA" w:rsidRPr="005D30DA" w:rsidRDefault="005D30DA" w:rsidP="005D30DA">
      <w:pPr>
        <w:widowControl/>
        <w:autoSpaceDE w:val="0"/>
        <w:autoSpaceDN w:val="0"/>
        <w:adjustRightInd w:val="0"/>
        <w:rPr>
          <w:rFonts w:cs="Arial"/>
          <w:color w:val="000000"/>
          <w:sz w:val="18"/>
          <w:szCs w:val="18"/>
          <w:lang w:val="en-AU" w:eastAsia="en-GB" w:bidi="ar-SA"/>
        </w:rPr>
      </w:pPr>
    </w:p>
    <w:p w14:paraId="14145C2B" w14:textId="77777777" w:rsidR="005D30DA" w:rsidRPr="005D30DA" w:rsidRDefault="005D30DA" w:rsidP="00B728C6">
      <w:pPr>
        <w:pStyle w:val="FSCDraftingitemheading"/>
      </w:pPr>
      <w:r w:rsidRPr="005D30DA">
        <w:t>Schedule 18 Processing aids</w:t>
      </w:r>
    </w:p>
    <w:p w14:paraId="6C2088DA" w14:textId="77777777" w:rsidR="005D30DA" w:rsidRPr="005D30DA" w:rsidRDefault="005D30DA" w:rsidP="00B728C6">
      <w:pPr>
        <w:pStyle w:val="FSCDraftingitemheading"/>
      </w:pPr>
      <w:r w:rsidRPr="005D30DA">
        <w:lastRenderedPageBreak/>
        <w:t>[31]</w:t>
      </w:r>
      <w:r w:rsidRPr="005D30DA">
        <w:tab/>
        <w:t>Subsection S18—4(2) (note 3)</w:t>
      </w:r>
    </w:p>
    <w:p w14:paraId="372F0BFB" w14:textId="77777777" w:rsidR="005D30DA" w:rsidRPr="005D30DA" w:rsidRDefault="005D30DA" w:rsidP="00323ECA">
      <w:pPr>
        <w:pStyle w:val="FSCDraftingitem"/>
      </w:pPr>
      <w:r w:rsidRPr="005D30DA">
        <w:tab/>
        <w:t>Repeal the note, substitute:</w:t>
      </w:r>
    </w:p>
    <w:p w14:paraId="22EB6E88" w14:textId="77777777" w:rsidR="005D30DA" w:rsidRPr="005D30DA" w:rsidRDefault="005D30DA" w:rsidP="00AA470A">
      <w:pPr>
        <w:pStyle w:val="FSCnMain"/>
      </w:pPr>
      <w:r w:rsidRPr="005D30DA">
        <w:tab/>
      </w:r>
      <w:r w:rsidRPr="005D30DA">
        <w:rPr>
          <w:b/>
          <w:bCs/>
          <w:i/>
          <w:iCs/>
        </w:rPr>
        <w:t>Note 3</w:t>
      </w:r>
      <w:r w:rsidRPr="005D30DA">
        <w:tab/>
        <w:t>Some enzyme sources identified in this section are protein engineered. If such an enzyme is used as a processing aid, the resulting food may have as an ingredient a food produced using gene technology, and the requirements relating to foods produced using gene technology will apply—see Standard 1.2.1 and Standard 1.5.2. The relevant enzymes are the following:</w:t>
      </w:r>
    </w:p>
    <w:p w14:paraId="3CFC22C9" w14:textId="77777777" w:rsidR="005D30DA" w:rsidRPr="005D30DA" w:rsidRDefault="005D30DA" w:rsidP="00776263">
      <w:pPr>
        <w:pStyle w:val="FSCnMain"/>
        <w:ind w:left="4536"/>
      </w:pPr>
      <w:r w:rsidRPr="005D30DA">
        <w:t>● Endo-1,4-beta-xylanase, protein engineered variant;</w:t>
      </w:r>
    </w:p>
    <w:p w14:paraId="2FCF4885" w14:textId="77777777" w:rsidR="005D30DA" w:rsidRPr="005D30DA" w:rsidRDefault="005D30DA" w:rsidP="00776263">
      <w:pPr>
        <w:pStyle w:val="FSCnMain"/>
        <w:ind w:left="4536"/>
      </w:pPr>
      <w:r w:rsidRPr="005D30DA">
        <w:t>● Glycerophospholipid cholesterol acyltransferase, protein engineered variant;</w:t>
      </w:r>
    </w:p>
    <w:p w14:paraId="3E1DE571" w14:textId="77777777" w:rsidR="005D30DA" w:rsidRPr="005D30DA" w:rsidRDefault="005D30DA" w:rsidP="00776263">
      <w:pPr>
        <w:pStyle w:val="FSCnMain"/>
        <w:ind w:left="4536"/>
      </w:pPr>
      <w:r w:rsidRPr="005D30DA">
        <w:t>● Lipase, triacylglycerol, protein engineered variant;</w:t>
      </w:r>
    </w:p>
    <w:p w14:paraId="1BF7F2B3" w14:textId="77777777" w:rsidR="005D30DA" w:rsidRPr="005D30DA" w:rsidRDefault="005D30DA" w:rsidP="00776263">
      <w:pPr>
        <w:pStyle w:val="FSCnMain"/>
        <w:ind w:left="4536"/>
      </w:pPr>
      <w:r w:rsidRPr="005D30DA">
        <w:t xml:space="preserve">● </w:t>
      </w:r>
      <w:proofErr w:type="spellStart"/>
      <w:r w:rsidRPr="005D30DA">
        <w:t>Maltotetraohydrolase</w:t>
      </w:r>
      <w:proofErr w:type="spellEnd"/>
      <w:r w:rsidRPr="005D30DA">
        <w:t>, protein engineered variant.</w:t>
      </w:r>
    </w:p>
    <w:p w14:paraId="12267DEB" w14:textId="77777777" w:rsidR="005D30DA" w:rsidRPr="005D30DA" w:rsidRDefault="005D30DA" w:rsidP="005D30DA">
      <w:pPr>
        <w:widowControl/>
        <w:tabs>
          <w:tab w:val="left" w:pos="851"/>
        </w:tabs>
        <w:spacing w:before="120" w:after="120"/>
        <w:rPr>
          <w:sz w:val="20"/>
          <w:szCs w:val="20"/>
          <w:lang w:bidi="ar-SA"/>
        </w:rPr>
      </w:pPr>
    </w:p>
    <w:p w14:paraId="69B95F62" w14:textId="77777777" w:rsidR="005D30DA" w:rsidRPr="005D30DA" w:rsidRDefault="005D30DA" w:rsidP="00B728C6">
      <w:pPr>
        <w:pStyle w:val="FSCDraftingitemheading"/>
      </w:pPr>
      <w:r w:rsidRPr="005D30DA">
        <w:t>[32]</w:t>
      </w:r>
      <w:r w:rsidRPr="005D30DA">
        <w:tab/>
        <w:t>Subsection S18—9(3) (table entry for “1-Hydroxyethylidene-1, 1-diphosphonic acid”, column 2)</w:t>
      </w:r>
    </w:p>
    <w:p w14:paraId="078D2997" w14:textId="77777777" w:rsidR="005D30DA" w:rsidRPr="005D30DA" w:rsidRDefault="005D30DA" w:rsidP="00323ECA">
      <w:pPr>
        <w:pStyle w:val="FSCDraftingitem"/>
      </w:pPr>
      <w:r w:rsidRPr="005D30DA">
        <w:rPr>
          <w:b/>
          <w:bCs/>
        </w:rPr>
        <w:tab/>
      </w:r>
      <w:r w:rsidRPr="005D30DA">
        <w:t>Omit “anti-microbial”, substitute “antimicrobial”</w:t>
      </w:r>
    </w:p>
    <w:p w14:paraId="4D814A6A" w14:textId="77777777" w:rsidR="005D30DA" w:rsidRPr="005D30DA" w:rsidRDefault="005D30DA" w:rsidP="005D30DA">
      <w:pPr>
        <w:widowControl/>
        <w:tabs>
          <w:tab w:val="left" w:pos="851"/>
        </w:tabs>
        <w:spacing w:before="120" w:after="120"/>
        <w:rPr>
          <w:sz w:val="20"/>
          <w:szCs w:val="20"/>
          <w:lang w:bidi="ar-SA"/>
        </w:rPr>
      </w:pPr>
    </w:p>
    <w:p w14:paraId="7410A610" w14:textId="77777777" w:rsidR="005D30DA" w:rsidRPr="005D30DA" w:rsidRDefault="005D30DA" w:rsidP="00B728C6">
      <w:pPr>
        <w:pStyle w:val="FSCDraftingitemheading"/>
      </w:pPr>
      <w:r w:rsidRPr="005D30DA">
        <w:rPr>
          <w:bCs/>
        </w:rPr>
        <w:t>[33]</w:t>
      </w:r>
      <w:r w:rsidRPr="005D30DA">
        <w:rPr>
          <w:bCs/>
        </w:rPr>
        <w:tab/>
      </w:r>
      <w:r w:rsidRPr="005D30DA">
        <w:t>Subsection S18—9(3) (table, column 2)</w:t>
      </w:r>
    </w:p>
    <w:p w14:paraId="3DBFA0AF" w14:textId="77777777" w:rsidR="005D30DA" w:rsidRPr="005D30DA" w:rsidRDefault="005D30DA" w:rsidP="00323ECA">
      <w:pPr>
        <w:pStyle w:val="FSCDraftingitem"/>
      </w:pPr>
      <w:r w:rsidRPr="005D30DA">
        <w:tab/>
        <w:t>Omit “Anti-microbial” wherever occurring, substitute “Antimicrobial”</w:t>
      </w:r>
    </w:p>
    <w:p w14:paraId="7B843090" w14:textId="77777777" w:rsidR="005D30DA" w:rsidRPr="005D30DA" w:rsidRDefault="005D30DA" w:rsidP="005D30DA">
      <w:pPr>
        <w:widowControl/>
        <w:tabs>
          <w:tab w:val="left" w:pos="851"/>
        </w:tabs>
        <w:spacing w:before="120" w:after="120"/>
        <w:rPr>
          <w:sz w:val="20"/>
          <w:szCs w:val="20"/>
          <w:lang w:bidi="ar-SA"/>
        </w:rPr>
      </w:pPr>
    </w:p>
    <w:p w14:paraId="19480019" w14:textId="77777777" w:rsidR="005D30DA" w:rsidRPr="005D30DA" w:rsidRDefault="005D30DA" w:rsidP="00B728C6">
      <w:pPr>
        <w:pStyle w:val="FSCDraftingitemheading"/>
      </w:pPr>
      <w:r w:rsidRPr="005D30DA">
        <w:t>[34]</w:t>
      </w:r>
      <w:r w:rsidRPr="005D30DA">
        <w:tab/>
        <w:t>Section S18—11</w:t>
      </w:r>
    </w:p>
    <w:p w14:paraId="7A387541" w14:textId="77777777" w:rsidR="005D30DA" w:rsidRPr="005D30DA" w:rsidRDefault="005D30DA" w:rsidP="00323ECA">
      <w:pPr>
        <w:pStyle w:val="FSCDraftingitem"/>
      </w:pPr>
      <w:r w:rsidRPr="005D30DA">
        <w:tab/>
        <w:t>Omit “anti-microbial” wherever occurring, substitute “antimicrobial”</w:t>
      </w:r>
    </w:p>
    <w:p w14:paraId="62F724F7" w14:textId="77777777" w:rsidR="005D30DA" w:rsidRPr="005D30DA" w:rsidRDefault="005D30DA" w:rsidP="005D30DA">
      <w:pPr>
        <w:widowControl/>
        <w:tabs>
          <w:tab w:val="left" w:pos="851"/>
        </w:tabs>
        <w:spacing w:before="120" w:after="120"/>
        <w:rPr>
          <w:sz w:val="20"/>
          <w:szCs w:val="20"/>
          <w:lang w:bidi="ar-SA"/>
        </w:rPr>
      </w:pPr>
    </w:p>
    <w:p w14:paraId="3E51F65E" w14:textId="77777777" w:rsidR="005D30DA" w:rsidRPr="005D30DA" w:rsidRDefault="005D30DA" w:rsidP="00732FE8">
      <w:pPr>
        <w:pStyle w:val="FSCDraftingitemheading"/>
      </w:pPr>
      <w:r w:rsidRPr="005D30DA">
        <w:t>Schedule 20 Maximum residue limits</w:t>
      </w:r>
    </w:p>
    <w:p w14:paraId="6965376F" w14:textId="77777777" w:rsidR="005D30DA" w:rsidRPr="005D30DA" w:rsidRDefault="005D30DA" w:rsidP="00732FE8">
      <w:pPr>
        <w:pStyle w:val="FSCDraftingitemheading"/>
      </w:pPr>
      <w:r w:rsidRPr="005D30DA">
        <w:t>[35]</w:t>
      </w:r>
      <w:r w:rsidRPr="005D30DA">
        <w:tab/>
        <w:t xml:space="preserve">Section S20—3 (table entries for </w:t>
      </w:r>
      <w:proofErr w:type="spellStart"/>
      <w:r w:rsidRPr="005D30DA">
        <w:t>Agvet</w:t>
      </w:r>
      <w:proofErr w:type="spellEnd"/>
      <w:r w:rsidRPr="005D30DA">
        <w:t xml:space="preserve"> chemicals: </w:t>
      </w:r>
      <w:proofErr w:type="spellStart"/>
      <w:r w:rsidRPr="005D30DA">
        <w:t>Amisulbrom</w:t>
      </w:r>
      <w:proofErr w:type="spellEnd"/>
      <w:r w:rsidRPr="005D30DA">
        <w:t xml:space="preserve">, Cyproconazole, </w:t>
      </w:r>
      <w:proofErr w:type="spellStart"/>
      <w:r w:rsidRPr="005D30DA">
        <w:t>Diafenthiuron</w:t>
      </w:r>
      <w:proofErr w:type="spellEnd"/>
      <w:r w:rsidRPr="005D30DA">
        <w:t xml:space="preserve">, Dinotefuran, </w:t>
      </w:r>
      <w:proofErr w:type="spellStart"/>
      <w:r w:rsidRPr="005D30DA">
        <w:t>Metalaxyl</w:t>
      </w:r>
      <w:proofErr w:type="spellEnd"/>
      <w:r w:rsidRPr="005D30DA">
        <w:t xml:space="preserve"> and </w:t>
      </w:r>
      <w:proofErr w:type="spellStart"/>
      <w:r w:rsidRPr="005D30DA">
        <w:t>Tetraniliprole</w:t>
      </w:r>
      <w:proofErr w:type="spellEnd"/>
      <w:r w:rsidRPr="005D30DA">
        <w:t>)</w:t>
      </w:r>
    </w:p>
    <w:p w14:paraId="6B0C7B82" w14:textId="77777777" w:rsidR="005D30DA" w:rsidRPr="005D30DA" w:rsidRDefault="005D30DA" w:rsidP="00732FE8">
      <w:pPr>
        <w:pStyle w:val="FSCDraftingitem"/>
      </w:pPr>
      <w:r w:rsidRPr="005D30DA">
        <w:tab/>
        <w:t>Omit:</w:t>
      </w:r>
    </w:p>
    <w:p w14:paraId="58EB106D" w14:textId="77777777" w:rsidR="005D30DA" w:rsidRPr="005D30DA" w:rsidRDefault="005D30DA" w:rsidP="00732FE8">
      <w:pPr>
        <w:pStyle w:val="FSCtblMRL1"/>
      </w:pPr>
      <w:r w:rsidRPr="005D30DA">
        <w:t>All other foods except animal commodities</w:t>
      </w:r>
    </w:p>
    <w:p w14:paraId="4CE21C82" w14:textId="77777777" w:rsidR="005D30DA" w:rsidRPr="005D30DA" w:rsidRDefault="005D30DA" w:rsidP="00732FE8">
      <w:pPr>
        <w:pStyle w:val="FSCDraftingitem"/>
      </w:pPr>
      <w:r w:rsidRPr="005D30DA">
        <w:tab/>
        <w:t>substitute:</w:t>
      </w:r>
    </w:p>
    <w:p w14:paraId="196C8B2F" w14:textId="77777777" w:rsidR="005D30DA" w:rsidRPr="005D30DA" w:rsidRDefault="005D30DA" w:rsidP="00732FE8">
      <w:pPr>
        <w:pStyle w:val="FSCtblMRL1"/>
      </w:pPr>
      <w:r w:rsidRPr="005D30DA">
        <w:t>All other foods except animal food commodities</w:t>
      </w:r>
    </w:p>
    <w:p w14:paraId="74244963" w14:textId="77777777" w:rsidR="005D30DA" w:rsidRPr="005D30DA" w:rsidRDefault="005D30DA" w:rsidP="005D30DA">
      <w:pPr>
        <w:spacing w:before="120" w:after="120"/>
        <w:ind w:left="851" w:hanging="851"/>
        <w:rPr>
          <w:b/>
          <w:sz w:val="20"/>
          <w:szCs w:val="20"/>
          <w:lang w:bidi="ar-SA"/>
        </w:rPr>
      </w:pPr>
    </w:p>
    <w:p w14:paraId="2F204776" w14:textId="77777777" w:rsidR="005D30DA" w:rsidRPr="005D30DA" w:rsidRDefault="005D30DA" w:rsidP="005D30DA">
      <w:pPr>
        <w:spacing w:before="120" w:after="120"/>
        <w:ind w:left="851" w:hanging="851"/>
        <w:rPr>
          <w:b/>
          <w:sz w:val="20"/>
          <w:szCs w:val="20"/>
          <w:lang w:bidi="ar-SA"/>
        </w:rPr>
      </w:pPr>
    </w:p>
    <w:p w14:paraId="0462544F" w14:textId="77777777" w:rsidR="005D30DA" w:rsidRPr="005D30DA" w:rsidRDefault="005D30DA" w:rsidP="005D30DA">
      <w:pPr>
        <w:spacing w:before="120" w:after="120"/>
        <w:ind w:left="851" w:hanging="851"/>
        <w:rPr>
          <w:b/>
          <w:sz w:val="20"/>
          <w:szCs w:val="20"/>
          <w:lang w:bidi="ar-SA"/>
        </w:rPr>
      </w:pPr>
    </w:p>
    <w:p w14:paraId="4B491764" w14:textId="77777777" w:rsidR="005D30DA" w:rsidRPr="005D30DA" w:rsidRDefault="005D30DA" w:rsidP="005D30DA">
      <w:pPr>
        <w:spacing w:before="120" w:after="120"/>
        <w:ind w:left="851" w:hanging="851"/>
        <w:rPr>
          <w:b/>
          <w:sz w:val="20"/>
          <w:szCs w:val="20"/>
          <w:lang w:bidi="ar-SA"/>
        </w:rPr>
      </w:pPr>
    </w:p>
    <w:p w14:paraId="4E13361D" w14:textId="77777777" w:rsidR="005D30DA" w:rsidRPr="005D30DA" w:rsidRDefault="005D30DA" w:rsidP="005D30DA">
      <w:pPr>
        <w:spacing w:before="120" w:after="120"/>
        <w:ind w:left="851" w:hanging="851"/>
        <w:rPr>
          <w:b/>
          <w:sz w:val="20"/>
          <w:szCs w:val="20"/>
          <w:lang w:bidi="ar-SA"/>
        </w:rPr>
      </w:pPr>
    </w:p>
    <w:p w14:paraId="520FC7C2" w14:textId="77777777" w:rsidR="005D30DA" w:rsidRPr="005D30DA" w:rsidRDefault="005D30DA" w:rsidP="005D30DA">
      <w:pPr>
        <w:spacing w:before="120" w:after="120"/>
        <w:ind w:left="851" w:hanging="851"/>
        <w:rPr>
          <w:b/>
          <w:sz w:val="20"/>
          <w:szCs w:val="20"/>
          <w:lang w:bidi="ar-SA"/>
        </w:rPr>
      </w:pPr>
    </w:p>
    <w:p w14:paraId="426F336B" w14:textId="77777777" w:rsidR="005D30DA" w:rsidRPr="005D30DA" w:rsidRDefault="005D30DA" w:rsidP="005D30DA">
      <w:pPr>
        <w:spacing w:before="120" w:after="120"/>
        <w:ind w:left="851" w:hanging="851"/>
        <w:rPr>
          <w:b/>
          <w:sz w:val="20"/>
          <w:szCs w:val="20"/>
          <w:lang w:bidi="ar-SA"/>
        </w:rPr>
      </w:pPr>
    </w:p>
    <w:p w14:paraId="3F1476D3" w14:textId="77777777" w:rsidR="005D30DA" w:rsidRPr="005D30DA" w:rsidRDefault="005D30DA" w:rsidP="00CA5BBC">
      <w:pPr>
        <w:pStyle w:val="FSCDraftingitemheading"/>
      </w:pPr>
      <w:r w:rsidRPr="005D30DA">
        <w:t>[36]</w:t>
      </w:r>
      <w:r w:rsidRPr="005D30DA">
        <w:tab/>
        <w:t xml:space="preserve">Section S20—3 (table entry for </w:t>
      </w:r>
      <w:proofErr w:type="spellStart"/>
      <w:r w:rsidRPr="005D30DA">
        <w:t>Agvet</w:t>
      </w:r>
      <w:proofErr w:type="spellEnd"/>
      <w:r w:rsidRPr="005D30DA">
        <w:t xml:space="preserve"> chemical: </w:t>
      </w:r>
      <w:proofErr w:type="spellStart"/>
      <w:r w:rsidRPr="005D30DA">
        <w:t>Bifenazate</w:t>
      </w:r>
      <w:proofErr w:type="spellEnd"/>
      <w:r w:rsidRPr="005D30DA">
        <w:t>)</w:t>
      </w:r>
    </w:p>
    <w:p w14:paraId="0F1F4629" w14:textId="77777777" w:rsidR="005D30DA" w:rsidRPr="005D30DA" w:rsidRDefault="005D30DA" w:rsidP="00CA5BBC">
      <w:pPr>
        <w:pStyle w:val="FSCDraftingitem"/>
      </w:pPr>
      <w:r w:rsidRPr="005D30DA">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5D30DA" w:rsidRPr="005D30DA" w14:paraId="003A0FDD" w14:textId="77777777" w:rsidTr="004D1CBE">
        <w:tc>
          <w:tcPr>
            <w:tcW w:w="3539" w:type="dxa"/>
          </w:tcPr>
          <w:p w14:paraId="3DD34DA4" w14:textId="77777777" w:rsidR="005D30DA" w:rsidRPr="005D30DA" w:rsidRDefault="005D30DA" w:rsidP="00CA5BBC">
            <w:pPr>
              <w:pStyle w:val="FSCtblMRL1"/>
            </w:pPr>
            <w:r w:rsidRPr="005D30DA">
              <w:t>Peach</w:t>
            </w:r>
          </w:p>
        </w:tc>
        <w:tc>
          <w:tcPr>
            <w:tcW w:w="1134" w:type="dxa"/>
          </w:tcPr>
          <w:p w14:paraId="6E564FA3" w14:textId="77777777" w:rsidR="005D30DA" w:rsidRPr="005D30DA" w:rsidRDefault="005D30DA" w:rsidP="00302F64">
            <w:pPr>
              <w:pStyle w:val="FSCtblMRL2"/>
            </w:pPr>
            <w:r w:rsidRPr="005D30DA">
              <w:t>2</w:t>
            </w:r>
          </w:p>
        </w:tc>
      </w:tr>
      <w:tr w:rsidR="005D30DA" w:rsidRPr="005D30DA" w14:paraId="00801B0D" w14:textId="77777777" w:rsidTr="004D1CBE">
        <w:tc>
          <w:tcPr>
            <w:tcW w:w="3539" w:type="dxa"/>
          </w:tcPr>
          <w:p w14:paraId="4E7F3746" w14:textId="77777777" w:rsidR="005D30DA" w:rsidRPr="005D30DA" w:rsidRDefault="005D30DA" w:rsidP="00CA5BBC">
            <w:pPr>
              <w:pStyle w:val="FSCtblMRL1"/>
            </w:pPr>
            <w:r w:rsidRPr="005D30DA">
              <w:t>Peppers, chili</w:t>
            </w:r>
          </w:p>
        </w:tc>
        <w:tc>
          <w:tcPr>
            <w:tcW w:w="1134" w:type="dxa"/>
          </w:tcPr>
          <w:p w14:paraId="017855CC" w14:textId="77777777" w:rsidR="005D30DA" w:rsidRPr="005D30DA" w:rsidRDefault="005D30DA" w:rsidP="00302F64">
            <w:pPr>
              <w:pStyle w:val="FSCtblMRL2"/>
            </w:pPr>
            <w:r w:rsidRPr="005D30DA">
              <w:t>3</w:t>
            </w:r>
          </w:p>
        </w:tc>
      </w:tr>
      <w:tr w:rsidR="005D30DA" w:rsidRPr="005D30DA" w14:paraId="5246127C" w14:textId="77777777" w:rsidTr="004D1CBE">
        <w:tc>
          <w:tcPr>
            <w:tcW w:w="3539" w:type="dxa"/>
          </w:tcPr>
          <w:p w14:paraId="4D9A6E15" w14:textId="77777777" w:rsidR="005D30DA" w:rsidRPr="005D30DA" w:rsidRDefault="005D30DA" w:rsidP="00CA5BBC">
            <w:pPr>
              <w:pStyle w:val="FSCtblMRL1"/>
            </w:pPr>
            <w:r w:rsidRPr="005D30DA">
              <w:t>Podded pea (young pods) (snow and sugar snap)</w:t>
            </w:r>
          </w:p>
        </w:tc>
        <w:tc>
          <w:tcPr>
            <w:tcW w:w="1134" w:type="dxa"/>
          </w:tcPr>
          <w:p w14:paraId="387DEEFC" w14:textId="77777777" w:rsidR="005D30DA" w:rsidRPr="005D30DA" w:rsidRDefault="005D30DA" w:rsidP="00302F64">
            <w:pPr>
              <w:pStyle w:val="FSCtblMRL2"/>
            </w:pPr>
            <w:r w:rsidRPr="005D30DA">
              <w:t>T1</w:t>
            </w:r>
          </w:p>
        </w:tc>
      </w:tr>
      <w:tr w:rsidR="005D30DA" w:rsidRPr="005D30DA" w14:paraId="27B6321A" w14:textId="77777777" w:rsidTr="004D1CBE">
        <w:tc>
          <w:tcPr>
            <w:tcW w:w="3539" w:type="dxa"/>
          </w:tcPr>
          <w:p w14:paraId="65401030" w14:textId="77777777" w:rsidR="005D30DA" w:rsidRPr="005D30DA" w:rsidRDefault="005D30DA" w:rsidP="00CA5BBC">
            <w:pPr>
              <w:pStyle w:val="FSCtblMRL1"/>
            </w:pPr>
            <w:r w:rsidRPr="005D30DA">
              <w:t>Poultry, edible offal of</w:t>
            </w:r>
          </w:p>
        </w:tc>
        <w:tc>
          <w:tcPr>
            <w:tcW w:w="1134" w:type="dxa"/>
          </w:tcPr>
          <w:p w14:paraId="65B9E5EA" w14:textId="77777777" w:rsidR="005D30DA" w:rsidRPr="005D30DA" w:rsidRDefault="005D30DA" w:rsidP="00302F64">
            <w:pPr>
              <w:pStyle w:val="FSCtblMRL2"/>
            </w:pPr>
            <w:r w:rsidRPr="005D30DA">
              <w:t>*0.01</w:t>
            </w:r>
          </w:p>
        </w:tc>
      </w:tr>
      <w:tr w:rsidR="005D30DA" w:rsidRPr="005D30DA" w14:paraId="55E15B0F" w14:textId="77777777" w:rsidTr="004D1CBE">
        <w:tc>
          <w:tcPr>
            <w:tcW w:w="3539" w:type="dxa"/>
          </w:tcPr>
          <w:p w14:paraId="13ACDF19" w14:textId="77777777" w:rsidR="005D30DA" w:rsidRPr="005D30DA" w:rsidRDefault="005D30DA" w:rsidP="00CA5BBC">
            <w:pPr>
              <w:pStyle w:val="FSCtblMRL1"/>
            </w:pPr>
            <w:r w:rsidRPr="005D30DA">
              <w:t>Poultry meat</w:t>
            </w:r>
          </w:p>
        </w:tc>
        <w:tc>
          <w:tcPr>
            <w:tcW w:w="1134" w:type="dxa"/>
          </w:tcPr>
          <w:p w14:paraId="69F778C7" w14:textId="77777777" w:rsidR="005D30DA" w:rsidRPr="005D30DA" w:rsidRDefault="005D30DA" w:rsidP="00302F64">
            <w:pPr>
              <w:pStyle w:val="FSCtblMRL2"/>
            </w:pPr>
            <w:r w:rsidRPr="005D30DA">
              <w:t>*0.01</w:t>
            </w:r>
          </w:p>
        </w:tc>
      </w:tr>
      <w:tr w:rsidR="005D30DA" w:rsidRPr="005D30DA" w14:paraId="320BFE50" w14:textId="77777777" w:rsidTr="004D1CBE">
        <w:tc>
          <w:tcPr>
            <w:tcW w:w="3539" w:type="dxa"/>
          </w:tcPr>
          <w:p w14:paraId="416F3673" w14:textId="77777777" w:rsidR="005D30DA" w:rsidRPr="005D30DA" w:rsidRDefault="005D30DA" w:rsidP="00CA5BBC">
            <w:pPr>
              <w:pStyle w:val="FSCtblMRL1"/>
            </w:pPr>
            <w:r w:rsidRPr="005D30DA">
              <w:t>Plums (including prunes)</w:t>
            </w:r>
          </w:p>
        </w:tc>
        <w:tc>
          <w:tcPr>
            <w:tcW w:w="1134" w:type="dxa"/>
          </w:tcPr>
          <w:p w14:paraId="6288B81C" w14:textId="77777777" w:rsidR="005D30DA" w:rsidRPr="005D30DA" w:rsidRDefault="005D30DA" w:rsidP="00302F64">
            <w:pPr>
              <w:pStyle w:val="FSCtblMRL2"/>
            </w:pPr>
            <w:r w:rsidRPr="005D30DA">
              <w:t>0.5</w:t>
            </w:r>
          </w:p>
        </w:tc>
      </w:tr>
      <w:tr w:rsidR="005D30DA" w:rsidRPr="005D30DA" w14:paraId="32A5FED5" w14:textId="77777777" w:rsidTr="004D1CBE">
        <w:tc>
          <w:tcPr>
            <w:tcW w:w="3539" w:type="dxa"/>
          </w:tcPr>
          <w:p w14:paraId="11280B5F" w14:textId="77777777" w:rsidR="005D30DA" w:rsidRPr="005D30DA" w:rsidRDefault="005D30DA" w:rsidP="00CA5BBC">
            <w:pPr>
              <w:pStyle w:val="FSCtblMRL1"/>
            </w:pPr>
            <w:r w:rsidRPr="005D30DA">
              <w:t>Pome fruits [except Persimmon, Japanese]</w:t>
            </w:r>
          </w:p>
        </w:tc>
        <w:tc>
          <w:tcPr>
            <w:tcW w:w="1134" w:type="dxa"/>
          </w:tcPr>
          <w:p w14:paraId="4848F9DA" w14:textId="77777777" w:rsidR="005D30DA" w:rsidRPr="005D30DA" w:rsidRDefault="005D30DA" w:rsidP="00302F64">
            <w:pPr>
              <w:pStyle w:val="FSCtblMRL2"/>
            </w:pPr>
            <w:r w:rsidRPr="005D30DA">
              <w:t>2</w:t>
            </w:r>
          </w:p>
        </w:tc>
      </w:tr>
    </w:tbl>
    <w:p w14:paraId="252DF4AB" w14:textId="77777777" w:rsidR="005D30DA" w:rsidRPr="005D30DA" w:rsidRDefault="005D30DA" w:rsidP="005D30DA">
      <w:pPr>
        <w:keepLines/>
        <w:widowControl/>
        <w:spacing w:before="20" w:after="20"/>
        <w:rPr>
          <w:rFonts w:cs="Arial"/>
          <w:sz w:val="18"/>
          <w:szCs w:val="20"/>
          <w:lang w:eastAsia="en-AU" w:bidi="ar-SA"/>
        </w:rPr>
      </w:pPr>
    </w:p>
    <w:p w14:paraId="6F0FFBF1" w14:textId="77777777" w:rsidR="005D30DA" w:rsidRPr="005D30DA" w:rsidRDefault="005D30DA" w:rsidP="00D90878">
      <w:pPr>
        <w:pStyle w:val="FSCDraftingitem"/>
      </w:pPr>
      <w:r w:rsidRPr="005D30DA">
        <w:lastRenderedPageBreak/>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5D30DA" w:rsidRPr="005D30DA" w14:paraId="7951C558" w14:textId="77777777" w:rsidTr="004D1CBE">
        <w:tc>
          <w:tcPr>
            <w:tcW w:w="3539" w:type="dxa"/>
          </w:tcPr>
          <w:p w14:paraId="534132C1" w14:textId="77777777" w:rsidR="005D30DA" w:rsidRPr="005D30DA" w:rsidRDefault="005D30DA" w:rsidP="00CA5BBC">
            <w:pPr>
              <w:pStyle w:val="FSCtblMRL1"/>
            </w:pPr>
            <w:r w:rsidRPr="005D30DA">
              <w:t>Peach</w:t>
            </w:r>
          </w:p>
        </w:tc>
        <w:tc>
          <w:tcPr>
            <w:tcW w:w="1134" w:type="dxa"/>
          </w:tcPr>
          <w:p w14:paraId="0744E6AA" w14:textId="77777777" w:rsidR="005D30DA" w:rsidRPr="005D30DA" w:rsidRDefault="005D30DA" w:rsidP="00302F64">
            <w:pPr>
              <w:pStyle w:val="FSCtblMRL2"/>
            </w:pPr>
            <w:r w:rsidRPr="005D30DA">
              <w:t>2</w:t>
            </w:r>
          </w:p>
        </w:tc>
      </w:tr>
      <w:tr w:rsidR="005D30DA" w:rsidRPr="005D30DA" w14:paraId="6EC1EF03" w14:textId="77777777" w:rsidTr="004D1CBE">
        <w:tc>
          <w:tcPr>
            <w:tcW w:w="3539" w:type="dxa"/>
          </w:tcPr>
          <w:p w14:paraId="510CCD02" w14:textId="77777777" w:rsidR="005D30DA" w:rsidRPr="005D30DA" w:rsidRDefault="005D30DA" w:rsidP="00CA5BBC">
            <w:pPr>
              <w:pStyle w:val="FSCtblMRL1"/>
            </w:pPr>
            <w:r w:rsidRPr="005D30DA">
              <w:t>Peppers, chili</w:t>
            </w:r>
          </w:p>
        </w:tc>
        <w:tc>
          <w:tcPr>
            <w:tcW w:w="1134" w:type="dxa"/>
          </w:tcPr>
          <w:p w14:paraId="7321B24B" w14:textId="77777777" w:rsidR="005D30DA" w:rsidRPr="005D30DA" w:rsidRDefault="005D30DA" w:rsidP="00302F64">
            <w:pPr>
              <w:pStyle w:val="FSCtblMRL2"/>
            </w:pPr>
            <w:r w:rsidRPr="005D30DA">
              <w:t>3</w:t>
            </w:r>
          </w:p>
        </w:tc>
      </w:tr>
      <w:tr w:rsidR="005D30DA" w:rsidRPr="005D30DA" w14:paraId="71B01D32" w14:textId="77777777" w:rsidTr="004D1CBE">
        <w:tc>
          <w:tcPr>
            <w:tcW w:w="3539" w:type="dxa"/>
          </w:tcPr>
          <w:p w14:paraId="20FB4B64" w14:textId="77777777" w:rsidR="005D30DA" w:rsidRPr="005D30DA" w:rsidRDefault="005D30DA" w:rsidP="00CA5BBC">
            <w:pPr>
              <w:pStyle w:val="FSCtblMRL1"/>
            </w:pPr>
            <w:r w:rsidRPr="005D30DA">
              <w:t>Plums (including prunes)</w:t>
            </w:r>
          </w:p>
        </w:tc>
        <w:tc>
          <w:tcPr>
            <w:tcW w:w="1134" w:type="dxa"/>
          </w:tcPr>
          <w:p w14:paraId="6387F432" w14:textId="77777777" w:rsidR="005D30DA" w:rsidRPr="005D30DA" w:rsidRDefault="005D30DA" w:rsidP="00302F64">
            <w:pPr>
              <w:pStyle w:val="FSCtblMRL2"/>
            </w:pPr>
            <w:r w:rsidRPr="005D30DA">
              <w:t>0.5</w:t>
            </w:r>
          </w:p>
        </w:tc>
      </w:tr>
      <w:tr w:rsidR="005D30DA" w:rsidRPr="005D30DA" w14:paraId="01629952" w14:textId="77777777" w:rsidTr="004D1CBE">
        <w:tc>
          <w:tcPr>
            <w:tcW w:w="3539" w:type="dxa"/>
          </w:tcPr>
          <w:p w14:paraId="0C5CEABF" w14:textId="77777777" w:rsidR="005D30DA" w:rsidRPr="005D30DA" w:rsidRDefault="005D30DA" w:rsidP="00CA5BBC">
            <w:pPr>
              <w:pStyle w:val="FSCtblMRL1"/>
            </w:pPr>
            <w:r w:rsidRPr="005D30DA">
              <w:t>Podded pea (young pods) (snow and sugar snap)</w:t>
            </w:r>
          </w:p>
        </w:tc>
        <w:tc>
          <w:tcPr>
            <w:tcW w:w="1134" w:type="dxa"/>
          </w:tcPr>
          <w:p w14:paraId="63A6644C" w14:textId="77777777" w:rsidR="005D30DA" w:rsidRPr="005D30DA" w:rsidRDefault="005D30DA" w:rsidP="00302F64">
            <w:pPr>
              <w:pStyle w:val="FSCtblMRL2"/>
            </w:pPr>
            <w:r w:rsidRPr="005D30DA">
              <w:t>T1</w:t>
            </w:r>
          </w:p>
        </w:tc>
      </w:tr>
      <w:tr w:rsidR="005D30DA" w:rsidRPr="005D30DA" w14:paraId="7ED1DB99" w14:textId="77777777" w:rsidTr="004D1CBE">
        <w:tc>
          <w:tcPr>
            <w:tcW w:w="3539" w:type="dxa"/>
          </w:tcPr>
          <w:p w14:paraId="3EA08CDF" w14:textId="77777777" w:rsidR="005D30DA" w:rsidRPr="005D30DA" w:rsidRDefault="005D30DA" w:rsidP="00CA5BBC">
            <w:pPr>
              <w:pStyle w:val="FSCtblMRL1"/>
            </w:pPr>
            <w:r w:rsidRPr="005D30DA">
              <w:t>Poultry, edible offal of</w:t>
            </w:r>
          </w:p>
        </w:tc>
        <w:tc>
          <w:tcPr>
            <w:tcW w:w="1134" w:type="dxa"/>
          </w:tcPr>
          <w:p w14:paraId="304915B0" w14:textId="77777777" w:rsidR="005D30DA" w:rsidRPr="005D30DA" w:rsidRDefault="005D30DA" w:rsidP="00302F64">
            <w:pPr>
              <w:pStyle w:val="FSCtblMRL2"/>
            </w:pPr>
            <w:r w:rsidRPr="005D30DA">
              <w:t>*0.01</w:t>
            </w:r>
          </w:p>
        </w:tc>
      </w:tr>
      <w:tr w:rsidR="005D30DA" w:rsidRPr="005D30DA" w14:paraId="0D814B97" w14:textId="77777777" w:rsidTr="004D1CBE">
        <w:tc>
          <w:tcPr>
            <w:tcW w:w="3539" w:type="dxa"/>
          </w:tcPr>
          <w:p w14:paraId="53E2748B" w14:textId="77777777" w:rsidR="005D30DA" w:rsidRPr="005D30DA" w:rsidRDefault="005D30DA" w:rsidP="00CA5BBC">
            <w:pPr>
              <w:pStyle w:val="FSCtblMRL1"/>
            </w:pPr>
            <w:r w:rsidRPr="005D30DA">
              <w:t>Poultry meat</w:t>
            </w:r>
          </w:p>
        </w:tc>
        <w:tc>
          <w:tcPr>
            <w:tcW w:w="1134" w:type="dxa"/>
          </w:tcPr>
          <w:p w14:paraId="319DCAFE" w14:textId="77777777" w:rsidR="005D30DA" w:rsidRPr="005D30DA" w:rsidRDefault="005D30DA" w:rsidP="00302F64">
            <w:pPr>
              <w:pStyle w:val="FSCtblMRL2"/>
            </w:pPr>
            <w:r w:rsidRPr="005D30DA">
              <w:t>*0.01</w:t>
            </w:r>
          </w:p>
        </w:tc>
      </w:tr>
      <w:tr w:rsidR="005D30DA" w:rsidRPr="005D30DA" w14:paraId="1DFB2EC0" w14:textId="77777777" w:rsidTr="004D1CBE">
        <w:tc>
          <w:tcPr>
            <w:tcW w:w="3539" w:type="dxa"/>
          </w:tcPr>
          <w:p w14:paraId="343DA71D" w14:textId="77777777" w:rsidR="005D30DA" w:rsidRPr="005D30DA" w:rsidRDefault="005D30DA" w:rsidP="00CA5BBC">
            <w:pPr>
              <w:pStyle w:val="FSCtblMRL1"/>
            </w:pPr>
            <w:r w:rsidRPr="005D30DA">
              <w:t>Pome fruits [except Persimmon, Japanese]</w:t>
            </w:r>
          </w:p>
        </w:tc>
        <w:tc>
          <w:tcPr>
            <w:tcW w:w="1134" w:type="dxa"/>
          </w:tcPr>
          <w:p w14:paraId="3C40D369" w14:textId="77777777" w:rsidR="005D30DA" w:rsidRPr="005D30DA" w:rsidRDefault="005D30DA" w:rsidP="00302F64">
            <w:pPr>
              <w:pStyle w:val="FSCtblMRL2"/>
            </w:pPr>
            <w:r w:rsidRPr="005D30DA">
              <w:t>2</w:t>
            </w:r>
          </w:p>
        </w:tc>
      </w:tr>
    </w:tbl>
    <w:p w14:paraId="483D39CA" w14:textId="77777777" w:rsidR="005D30DA" w:rsidRPr="005D30DA" w:rsidRDefault="005D30DA" w:rsidP="005D30DA">
      <w:pPr>
        <w:widowControl/>
        <w:tabs>
          <w:tab w:val="left" w:pos="851"/>
        </w:tabs>
        <w:spacing w:before="120" w:after="120"/>
        <w:rPr>
          <w:sz w:val="20"/>
          <w:szCs w:val="20"/>
          <w:lang w:bidi="ar-SA"/>
        </w:rPr>
      </w:pPr>
    </w:p>
    <w:p w14:paraId="6FDEE381" w14:textId="77777777" w:rsidR="005D30DA" w:rsidRPr="005D30DA" w:rsidRDefault="005D30DA" w:rsidP="00C0032A">
      <w:pPr>
        <w:pStyle w:val="FSCDraftingitemheading"/>
      </w:pPr>
      <w:r w:rsidRPr="005D30DA">
        <w:t>[37]</w:t>
      </w:r>
      <w:r w:rsidRPr="005D30DA">
        <w:tab/>
        <w:t xml:space="preserve">Section S20—3 (table entry for </w:t>
      </w:r>
      <w:proofErr w:type="spellStart"/>
      <w:r w:rsidRPr="005D30DA">
        <w:t>Agvet</w:t>
      </w:r>
      <w:proofErr w:type="spellEnd"/>
      <w:r w:rsidRPr="005D30DA">
        <w:t xml:space="preserve"> chemical: </w:t>
      </w:r>
      <w:proofErr w:type="spellStart"/>
      <w:r w:rsidRPr="005D30DA">
        <w:t>Buprofezin</w:t>
      </w:r>
      <w:proofErr w:type="spellEnd"/>
      <w:r w:rsidRPr="005D30DA">
        <w:t>)</w:t>
      </w:r>
    </w:p>
    <w:p w14:paraId="54CAC5FF" w14:textId="77777777" w:rsidR="005D30DA" w:rsidRPr="005D30DA" w:rsidRDefault="005D30DA" w:rsidP="00A84C88">
      <w:pPr>
        <w:pStyle w:val="FSCDraftingitem"/>
      </w:pPr>
      <w:r w:rsidRPr="005D30DA">
        <w:tab/>
        <w:t>Omit:</w:t>
      </w:r>
    </w:p>
    <w:p w14:paraId="021AA47A" w14:textId="77777777" w:rsidR="005D30DA" w:rsidRPr="005D30DA" w:rsidRDefault="005D30DA" w:rsidP="00A7559B">
      <w:pPr>
        <w:pStyle w:val="FSCtblMRL1"/>
      </w:pPr>
      <w:bookmarkStart w:id="93" w:name="_Hlk112240620"/>
      <w:r w:rsidRPr="005D30DA">
        <w:rPr>
          <w:lang w:val="en-AU"/>
        </w:rPr>
        <w:t>Oilseed</w:t>
      </w:r>
      <w:r w:rsidRPr="005D30DA">
        <w:t xml:space="preserve"> (except cotton seed)</w:t>
      </w:r>
    </w:p>
    <w:bookmarkEnd w:id="93"/>
    <w:p w14:paraId="532491D1" w14:textId="77777777" w:rsidR="005D30DA" w:rsidRPr="005D30DA" w:rsidRDefault="005D30DA" w:rsidP="00A84C88">
      <w:pPr>
        <w:pStyle w:val="FSCDraftingitem"/>
      </w:pPr>
      <w:r w:rsidRPr="005D30DA">
        <w:tab/>
        <w:t>substitute:</w:t>
      </w:r>
    </w:p>
    <w:p w14:paraId="3CFAF34B" w14:textId="77777777" w:rsidR="005D30DA" w:rsidRPr="005D30DA" w:rsidRDefault="005D30DA" w:rsidP="00A7559B">
      <w:pPr>
        <w:pStyle w:val="FSCtblMRL1"/>
      </w:pPr>
      <w:r w:rsidRPr="005D30DA">
        <w:rPr>
          <w:lang w:val="en-AU"/>
        </w:rPr>
        <w:t>Oilseeds</w:t>
      </w:r>
      <w:r w:rsidRPr="005D30DA">
        <w:t xml:space="preserve"> [except cotton seed]</w:t>
      </w:r>
    </w:p>
    <w:p w14:paraId="0254521A" w14:textId="77777777" w:rsidR="005D30DA" w:rsidRPr="005D30DA" w:rsidRDefault="005D30DA" w:rsidP="005D30DA">
      <w:pPr>
        <w:keepLines/>
        <w:widowControl/>
        <w:spacing w:before="20" w:after="20"/>
        <w:rPr>
          <w:rFonts w:cs="Arial"/>
          <w:sz w:val="18"/>
          <w:szCs w:val="20"/>
          <w:lang w:eastAsia="en-AU" w:bidi="ar-SA"/>
        </w:rPr>
      </w:pPr>
    </w:p>
    <w:p w14:paraId="77DE585A" w14:textId="77777777" w:rsidR="005D30DA" w:rsidRPr="005D30DA" w:rsidRDefault="005D30DA" w:rsidP="00C0032A">
      <w:pPr>
        <w:pStyle w:val="FSCDraftingitemheading"/>
      </w:pPr>
      <w:r w:rsidRPr="005D30DA">
        <w:t>[38]</w:t>
      </w:r>
      <w:r w:rsidRPr="005D30DA">
        <w:tab/>
        <w:t xml:space="preserve">Section S20—3 (table entries for </w:t>
      </w:r>
      <w:proofErr w:type="spellStart"/>
      <w:r w:rsidRPr="005D30DA">
        <w:t>Agvet</w:t>
      </w:r>
      <w:proofErr w:type="spellEnd"/>
      <w:r w:rsidRPr="005D30DA">
        <w:t xml:space="preserve"> chemicals: </w:t>
      </w:r>
      <w:proofErr w:type="spellStart"/>
      <w:r w:rsidRPr="005D30DA">
        <w:t>Cyflumetofen</w:t>
      </w:r>
      <w:proofErr w:type="spellEnd"/>
      <w:r w:rsidRPr="005D30DA">
        <w:t xml:space="preserve"> and </w:t>
      </w:r>
      <w:proofErr w:type="spellStart"/>
      <w:r w:rsidRPr="005D30DA">
        <w:t>Fenazaquin</w:t>
      </w:r>
      <w:proofErr w:type="spellEnd"/>
      <w:r w:rsidRPr="005D30DA">
        <w:t>)</w:t>
      </w:r>
    </w:p>
    <w:p w14:paraId="27F07BA5" w14:textId="77777777" w:rsidR="005D30DA" w:rsidRPr="005D30DA" w:rsidRDefault="005D30DA" w:rsidP="00A84C88">
      <w:pPr>
        <w:pStyle w:val="FSCDraftingitem"/>
      </w:pPr>
      <w:r w:rsidRPr="005D30DA">
        <w:tab/>
        <w:t>Omit</w:t>
      </w:r>
      <w:r w:rsidRPr="005D30DA">
        <w:rPr>
          <w:shd w:val="clear" w:color="auto" w:fill="FFFFFF"/>
        </w:rPr>
        <w:t>:</w:t>
      </w:r>
    </w:p>
    <w:p w14:paraId="4FC43897" w14:textId="77777777" w:rsidR="005D30DA" w:rsidRPr="005D30DA" w:rsidRDefault="005D30DA" w:rsidP="00A7559B">
      <w:pPr>
        <w:pStyle w:val="FSCtblMRL1"/>
      </w:pPr>
      <w:r w:rsidRPr="005D30DA">
        <w:rPr>
          <w:lang w:val="en-AU"/>
        </w:rPr>
        <w:t>Grapes</w:t>
      </w:r>
      <w:r w:rsidRPr="005D30DA">
        <w:t xml:space="preserve"> (except dried)</w:t>
      </w:r>
    </w:p>
    <w:p w14:paraId="35BBD5EB" w14:textId="77777777" w:rsidR="005D30DA" w:rsidRPr="005D30DA" w:rsidRDefault="005D30DA" w:rsidP="00A84C88">
      <w:pPr>
        <w:pStyle w:val="FSCDraftingitem"/>
        <w:rPr>
          <w:shd w:val="clear" w:color="auto" w:fill="FFFFFF"/>
        </w:rPr>
      </w:pPr>
      <w:r w:rsidRPr="005D30DA">
        <w:tab/>
        <w:t>substitute</w:t>
      </w:r>
      <w:r w:rsidRPr="005D30DA">
        <w:rPr>
          <w:shd w:val="clear" w:color="auto" w:fill="FFFFFF"/>
        </w:rPr>
        <w:t>:</w:t>
      </w:r>
    </w:p>
    <w:p w14:paraId="020A62C7" w14:textId="77777777" w:rsidR="005D30DA" w:rsidRPr="005D30DA" w:rsidRDefault="005D30DA" w:rsidP="00A7559B">
      <w:pPr>
        <w:pStyle w:val="FSCtblMRL1"/>
        <w:rPr>
          <w:shd w:val="clear" w:color="auto" w:fill="FFFFFF"/>
        </w:rPr>
      </w:pPr>
      <w:r w:rsidRPr="005D30DA">
        <w:rPr>
          <w:lang w:val="en-AU"/>
        </w:rPr>
        <w:t>Grapes [except dried]</w:t>
      </w:r>
    </w:p>
    <w:p w14:paraId="637C2DEE" w14:textId="77777777" w:rsidR="005D30DA" w:rsidRPr="005D30DA" w:rsidRDefault="005D30DA" w:rsidP="005D30DA">
      <w:pPr>
        <w:keepLines/>
        <w:widowControl/>
        <w:spacing w:before="20" w:after="20"/>
        <w:rPr>
          <w:rFonts w:cs="Arial"/>
          <w:sz w:val="18"/>
          <w:szCs w:val="20"/>
          <w:shd w:val="clear" w:color="auto" w:fill="FFFFFF"/>
          <w:lang w:eastAsia="en-AU" w:bidi="ar-SA"/>
        </w:rPr>
      </w:pPr>
    </w:p>
    <w:p w14:paraId="2DFAE1CD" w14:textId="77777777" w:rsidR="005D30DA" w:rsidRPr="005D30DA" w:rsidRDefault="005D30DA" w:rsidP="00C0032A">
      <w:pPr>
        <w:pStyle w:val="FSCDraftingitemheading"/>
      </w:pPr>
      <w:r w:rsidRPr="005D30DA">
        <w:rPr>
          <w:shd w:val="clear" w:color="auto" w:fill="FFFFFF"/>
        </w:rPr>
        <w:t>[39]</w:t>
      </w:r>
      <w:r w:rsidRPr="005D30DA">
        <w:rPr>
          <w:shd w:val="clear" w:color="auto" w:fill="FFFFFF"/>
        </w:rPr>
        <w:tab/>
      </w:r>
      <w:r w:rsidRPr="005D30DA">
        <w:t xml:space="preserve">Section S20—3 (table entry for </w:t>
      </w:r>
      <w:proofErr w:type="spellStart"/>
      <w:r w:rsidRPr="005D30DA">
        <w:t>Agvet</w:t>
      </w:r>
      <w:proofErr w:type="spellEnd"/>
      <w:r w:rsidRPr="005D30DA">
        <w:t xml:space="preserve"> chemical: Cyprodinil)</w:t>
      </w:r>
    </w:p>
    <w:p w14:paraId="0CB533E4" w14:textId="77777777" w:rsidR="005D30DA" w:rsidRPr="005D30DA" w:rsidRDefault="005D30DA" w:rsidP="00A84C88">
      <w:pPr>
        <w:pStyle w:val="FSCDraftingitem"/>
      </w:pPr>
      <w:r w:rsidRPr="005D30DA">
        <w:rPr>
          <w:shd w:val="clear" w:color="auto" w:fill="FFFFFF"/>
        </w:rPr>
        <w:tab/>
      </w:r>
      <w:bookmarkStart w:id="94" w:name="_Hlk120718808"/>
      <w:r w:rsidRPr="005D30DA">
        <w:t>Omit:</w:t>
      </w:r>
    </w:p>
    <w:p w14:paraId="1E947112" w14:textId="77777777" w:rsidR="005D30DA" w:rsidRPr="005D30DA" w:rsidRDefault="005D30DA" w:rsidP="00A7559B">
      <w:pPr>
        <w:pStyle w:val="FSCtblMRL1"/>
      </w:pPr>
      <w:r w:rsidRPr="005D30DA">
        <w:rPr>
          <w:lang w:val="en-AU"/>
        </w:rPr>
        <w:t>Peppers</w:t>
      </w:r>
      <w:r w:rsidRPr="005D30DA">
        <w:t>, chili (except dried)</w:t>
      </w:r>
    </w:p>
    <w:p w14:paraId="3FC27EB4" w14:textId="77777777" w:rsidR="005D30DA" w:rsidRPr="005D30DA" w:rsidRDefault="005D30DA" w:rsidP="00A84C88">
      <w:pPr>
        <w:pStyle w:val="FSCDraftingitem"/>
      </w:pPr>
      <w:r w:rsidRPr="005D30DA">
        <w:tab/>
        <w:t>substitute:</w:t>
      </w:r>
    </w:p>
    <w:p w14:paraId="23839DF4" w14:textId="77777777" w:rsidR="005D30DA" w:rsidRPr="005D30DA" w:rsidRDefault="005D30DA" w:rsidP="00A7559B">
      <w:pPr>
        <w:pStyle w:val="FSCtblMRL1"/>
      </w:pPr>
      <w:r w:rsidRPr="005D30DA">
        <w:rPr>
          <w:lang w:val="en-AU"/>
        </w:rPr>
        <w:t>Peppers</w:t>
      </w:r>
      <w:r w:rsidRPr="005D30DA">
        <w:t>, chili [except dried]</w:t>
      </w:r>
    </w:p>
    <w:bookmarkEnd w:id="94"/>
    <w:p w14:paraId="0B4F55F6" w14:textId="77777777" w:rsidR="005D30DA" w:rsidRPr="005D30DA" w:rsidRDefault="005D30DA" w:rsidP="005D30DA">
      <w:pPr>
        <w:widowControl/>
        <w:tabs>
          <w:tab w:val="left" w:pos="851"/>
        </w:tabs>
        <w:spacing w:before="120" w:after="120"/>
        <w:rPr>
          <w:rFonts w:cs="Arial"/>
          <w:sz w:val="18"/>
          <w:szCs w:val="20"/>
          <w:shd w:val="clear" w:color="auto" w:fill="FFFFFF"/>
          <w:lang w:eastAsia="en-AU" w:bidi="ar-SA"/>
        </w:rPr>
      </w:pPr>
    </w:p>
    <w:p w14:paraId="7DA17A4E" w14:textId="5A6642D9" w:rsidR="005D30DA" w:rsidRPr="005D30DA" w:rsidRDefault="005D30DA" w:rsidP="00C0032A">
      <w:pPr>
        <w:pStyle w:val="FSCDraftingitemheading"/>
      </w:pPr>
      <w:r w:rsidRPr="005D30DA">
        <w:rPr>
          <w:shd w:val="clear" w:color="auto" w:fill="FFFFFF"/>
        </w:rPr>
        <w:t>[40]</w:t>
      </w:r>
      <w:r w:rsidRPr="005D30DA">
        <w:rPr>
          <w:shd w:val="clear" w:color="auto" w:fill="FFFFFF"/>
        </w:rPr>
        <w:tab/>
      </w:r>
      <w:r w:rsidRPr="005D30DA">
        <w:t xml:space="preserve">Section S20—3 (table entry for </w:t>
      </w:r>
      <w:proofErr w:type="spellStart"/>
      <w:r w:rsidRPr="005D30DA">
        <w:t>Agvet</w:t>
      </w:r>
      <w:proofErr w:type="spellEnd"/>
      <w:r w:rsidRPr="005D30DA">
        <w:t xml:space="preserve"> chemical: </w:t>
      </w:r>
      <w:proofErr w:type="spellStart"/>
      <w:r w:rsidRPr="005D30DA">
        <w:t>Didecyldimethylammonium</w:t>
      </w:r>
      <w:proofErr w:type="spellEnd"/>
      <w:r w:rsidRPr="005D30DA">
        <w:t xml:space="preserve"> chloride)</w:t>
      </w:r>
    </w:p>
    <w:p w14:paraId="36DE0E87" w14:textId="77777777" w:rsidR="005D30DA" w:rsidRPr="005D30DA" w:rsidRDefault="005D30DA" w:rsidP="00A84C88">
      <w:pPr>
        <w:pStyle w:val="FSCDraftingitem"/>
      </w:pPr>
      <w:r w:rsidRPr="005D30DA">
        <w:tab/>
        <w:t>Omit:</w:t>
      </w:r>
    </w:p>
    <w:p w14:paraId="7FE0252F" w14:textId="77777777" w:rsidR="005D30DA" w:rsidRPr="005D30DA" w:rsidRDefault="005D30DA" w:rsidP="00A7559B">
      <w:pPr>
        <w:pStyle w:val="FSCtblMRL1"/>
      </w:pPr>
      <w:r w:rsidRPr="005D30DA">
        <w:t xml:space="preserve">– </w:t>
      </w:r>
      <w:r w:rsidRPr="005D30DA">
        <w:rPr>
          <w:lang w:val="en-AU"/>
        </w:rPr>
        <w:t>inedible</w:t>
      </w:r>
      <w:r w:rsidRPr="005D30DA">
        <w:t xml:space="preserve"> peel (except tamarillo (tree tomato))</w:t>
      </w:r>
    </w:p>
    <w:p w14:paraId="54FF7B9A" w14:textId="77777777" w:rsidR="005D30DA" w:rsidRPr="005D30DA" w:rsidRDefault="005D30DA" w:rsidP="00A84C88">
      <w:pPr>
        <w:pStyle w:val="FSCDraftingitem"/>
      </w:pPr>
      <w:r w:rsidRPr="005D30DA">
        <w:tab/>
        <w:t>substitute:</w:t>
      </w:r>
    </w:p>
    <w:p w14:paraId="6835A2C7" w14:textId="77777777" w:rsidR="005D30DA" w:rsidRPr="005D30DA" w:rsidRDefault="005D30DA" w:rsidP="00A7559B">
      <w:pPr>
        <w:pStyle w:val="FSCtblMRL1"/>
      </w:pPr>
      <w:r w:rsidRPr="005D30DA">
        <w:t xml:space="preserve">– </w:t>
      </w:r>
      <w:r w:rsidRPr="005D30DA">
        <w:rPr>
          <w:lang w:val="en-AU"/>
        </w:rPr>
        <w:t>inedible</w:t>
      </w:r>
      <w:r w:rsidRPr="005D30DA">
        <w:t xml:space="preserve"> peel [except tamarillo (tree tomato)]</w:t>
      </w:r>
    </w:p>
    <w:p w14:paraId="6CB29258" w14:textId="77777777" w:rsidR="005D30DA" w:rsidRPr="005D30DA" w:rsidRDefault="005D30DA" w:rsidP="005D30DA">
      <w:pPr>
        <w:spacing w:before="120" w:after="120"/>
        <w:ind w:left="851" w:hanging="851"/>
        <w:rPr>
          <w:b/>
          <w:sz w:val="20"/>
          <w:szCs w:val="20"/>
          <w:lang w:bidi="ar-SA"/>
        </w:rPr>
      </w:pPr>
    </w:p>
    <w:p w14:paraId="19A522F2" w14:textId="77777777" w:rsidR="005D30DA" w:rsidRPr="005D30DA" w:rsidRDefault="005D30DA" w:rsidP="007D6CE3">
      <w:pPr>
        <w:pStyle w:val="FSCDraftingitemheading"/>
      </w:pPr>
      <w:r w:rsidRPr="005D30DA">
        <w:t>[41]</w:t>
      </w:r>
      <w:r w:rsidRPr="005D30DA">
        <w:tab/>
        <w:t xml:space="preserve">Section S20—3 (table entry for </w:t>
      </w:r>
      <w:proofErr w:type="spellStart"/>
      <w:r w:rsidRPr="005D30DA">
        <w:t>Agvet</w:t>
      </w:r>
      <w:proofErr w:type="spellEnd"/>
      <w:r w:rsidRPr="005D30DA">
        <w:t xml:space="preserve"> chemical: Ethephon)</w:t>
      </w:r>
    </w:p>
    <w:p w14:paraId="2E145B30" w14:textId="2DE27243" w:rsidR="005D30DA" w:rsidRPr="005D30DA" w:rsidRDefault="005D30DA" w:rsidP="00720CAA">
      <w:pPr>
        <w:pStyle w:val="FSCDraftingitem"/>
        <w:rPr>
          <w:rFonts w:cs="Arial"/>
          <w:sz w:val="18"/>
          <w:lang w:eastAsia="en-AU"/>
        </w:rPr>
      </w:pPr>
      <w:r w:rsidRPr="005D30DA">
        <w:tab/>
        <w:t xml:space="preserve">Omit: </w:t>
      </w:r>
      <w:r w:rsidRPr="005D30DA">
        <w:rPr>
          <w:rFonts w:cs="Arial"/>
          <w:sz w:val="18"/>
          <w:lang w:eastAsia="en-AU"/>
        </w:rPr>
        <w:tab/>
      </w:r>
      <w:r w:rsidRPr="005D30DA">
        <w:rPr>
          <w:rFonts w:cs="Arial"/>
          <w:sz w:val="18"/>
          <w:lang w:eastAsia="en-AU"/>
        </w:rPr>
        <w:tab/>
      </w:r>
    </w:p>
    <w:tbl>
      <w:tblPr>
        <w:tblStyle w:val="TableGrid123"/>
        <w:tblW w:w="46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994"/>
      </w:tblGrid>
      <w:tr w:rsidR="005D30DA" w:rsidRPr="005D30DA" w14:paraId="02BEF21E" w14:textId="77777777" w:rsidTr="004D1CBE">
        <w:trPr>
          <w:cantSplit/>
          <w:trHeight w:val="539"/>
        </w:trPr>
        <w:tc>
          <w:tcPr>
            <w:tcW w:w="3686" w:type="dxa"/>
            <w:hideMark/>
          </w:tcPr>
          <w:p w14:paraId="5DFB097E" w14:textId="77777777" w:rsidR="005D30DA" w:rsidRPr="005D30DA" w:rsidRDefault="005D30DA" w:rsidP="00720CAA">
            <w:pPr>
              <w:pStyle w:val="FSCtblMRL1"/>
              <w:rPr>
                <w:lang w:eastAsia="en-GB"/>
              </w:rPr>
            </w:pPr>
            <w:r w:rsidRPr="005D30DA">
              <w:t>All other foods except animal commodities</w:t>
            </w:r>
          </w:p>
        </w:tc>
        <w:tc>
          <w:tcPr>
            <w:tcW w:w="994" w:type="dxa"/>
            <w:hideMark/>
          </w:tcPr>
          <w:p w14:paraId="02A80470" w14:textId="77777777" w:rsidR="005D30DA" w:rsidRPr="005D30DA" w:rsidRDefault="005D30DA" w:rsidP="00BB29C9">
            <w:pPr>
              <w:pStyle w:val="FSCtblMRL2"/>
            </w:pPr>
            <w:r w:rsidRPr="005D30DA">
              <w:t>0.01</w:t>
            </w:r>
          </w:p>
        </w:tc>
      </w:tr>
    </w:tbl>
    <w:p w14:paraId="298AF802" w14:textId="34EF2090" w:rsidR="005D30DA" w:rsidRPr="005D30DA" w:rsidRDefault="005D30DA" w:rsidP="00720CAA">
      <w:pPr>
        <w:pStyle w:val="FSCDraftingitem"/>
        <w:rPr>
          <w:rFonts w:cs="Arial"/>
          <w:sz w:val="18"/>
          <w:lang w:eastAsia="en-AU"/>
        </w:rPr>
      </w:pPr>
      <w:r w:rsidRPr="005D30DA">
        <w:tab/>
        <w:t>substitute:</w:t>
      </w:r>
      <w:r w:rsidRPr="005D30DA">
        <w:rPr>
          <w:rFonts w:cs="Arial"/>
          <w:sz w:val="18"/>
          <w:lang w:eastAsia="en-AU"/>
        </w:rPr>
        <w:tab/>
      </w:r>
      <w:r w:rsidRPr="005D30DA">
        <w:rPr>
          <w:rFonts w:cs="Arial"/>
          <w:sz w:val="18"/>
          <w:lang w:eastAsia="en-AU"/>
        </w:rPr>
        <w:tab/>
      </w:r>
    </w:p>
    <w:tbl>
      <w:tblPr>
        <w:tblStyle w:val="TableGrid1231"/>
        <w:tblW w:w="46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979"/>
      </w:tblGrid>
      <w:tr w:rsidR="005D30DA" w:rsidRPr="005D30DA" w14:paraId="359CF89F" w14:textId="77777777" w:rsidTr="004D1CBE">
        <w:trPr>
          <w:cantSplit/>
          <w:trHeight w:val="584"/>
        </w:trPr>
        <w:tc>
          <w:tcPr>
            <w:tcW w:w="3686" w:type="dxa"/>
            <w:hideMark/>
          </w:tcPr>
          <w:p w14:paraId="53592C22" w14:textId="77777777" w:rsidR="005D30DA" w:rsidRPr="005D30DA" w:rsidRDefault="005D30DA" w:rsidP="00720CAA">
            <w:pPr>
              <w:pStyle w:val="FSCtblMRL1"/>
              <w:rPr>
                <w:lang w:eastAsia="en-GB"/>
              </w:rPr>
            </w:pPr>
            <w:r w:rsidRPr="005D30DA">
              <w:t>All other foods except animal food commodities</w:t>
            </w:r>
          </w:p>
        </w:tc>
        <w:tc>
          <w:tcPr>
            <w:tcW w:w="979" w:type="dxa"/>
            <w:hideMark/>
          </w:tcPr>
          <w:p w14:paraId="1EFEF22A" w14:textId="77777777" w:rsidR="005D30DA" w:rsidRPr="005D30DA" w:rsidRDefault="005D30DA" w:rsidP="00BB29C9">
            <w:pPr>
              <w:pStyle w:val="FSCtblMRL2"/>
            </w:pPr>
            <w:r w:rsidRPr="005D30DA">
              <w:t>0.1</w:t>
            </w:r>
          </w:p>
        </w:tc>
      </w:tr>
    </w:tbl>
    <w:p w14:paraId="686DC54D" w14:textId="77777777" w:rsidR="005D30DA" w:rsidRPr="005D30DA" w:rsidRDefault="005D30DA" w:rsidP="007D6CE3">
      <w:pPr>
        <w:pStyle w:val="FSCDraftingitemheading"/>
      </w:pPr>
      <w:bookmarkStart w:id="95" w:name="_Hlk112244838"/>
      <w:r w:rsidRPr="005D30DA">
        <w:t>[42]</w:t>
      </w:r>
      <w:r w:rsidRPr="005D30DA">
        <w:tab/>
      </w:r>
      <w:bookmarkStart w:id="96" w:name="_Hlk119590454"/>
      <w:bookmarkStart w:id="97" w:name="_Hlk120291694"/>
      <w:r w:rsidRPr="005D30DA">
        <w:t xml:space="preserve">Section S20—3 (table entry for </w:t>
      </w:r>
      <w:proofErr w:type="spellStart"/>
      <w:r w:rsidRPr="005D30DA">
        <w:t>Agvet</w:t>
      </w:r>
      <w:proofErr w:type="spellEnd"/>
      <w:r w:rsidRPr="005D30DA">
        <w:t xml:space="preserve"> chemical: Fludioxonil)</w:t>
      </w:r>
      <w:bookmarkEnd w:id="96"/>
      <w:bookmarkEnd w:id="97"/>
    </w:p>
    <w:p w14:paraId="56371242" w14:textId="77777777" w:rsidR="005D30DA" w:rsidRPr="005D30DA" w:rsidRDefault="005D30DA" w:rsidP="007D6CE3">
      <w:pPr>
        <w:pStyle w:val="FSCDraftingitem"/>
      </w:pPr>
      <w:r w:rsidRPr="005D30DA">
        <w:t>[42.1]</w:t>
      </w:r>
      <w:r w:rsidRPr="005D30DA">
        <w:tab/>
        <w:t>Omit</w:t>
      </w:r>
      <w:r w:rsidRPr="005D30DA">
        <w:rPr>
          <w:shd w:val="clear" w:color="auto" w:fill="FFFFFF"/>
        </w:rPr>
        <w:t>:</w:t>
      </w:r>
      <w:r w:rsidRPr="005D30DA">
        <w:t xml:space="preserve"> </w:t>
      </w:r>
    </w:p>
    <w:p w14:paraId="19C44E69" w14:textId="77777777" w:rsidR="005D30DA" w:rsidRPr="005D30DA" w:rsidRDefault="005D30DA" w:rsidP="00BB29C9">
      <w:pPr>
        <w:pStyle w:val="FSCtblMRL1"/>
      </w:pPr>
      <w:r w:rsidRPr="005D30DA">
        <w:t>Bulb onions (= garlic; onion, bulb; shallots)</w:t>
      </w:r>
    </w:p>
    <w:p w14:paraId="1B00E338" w14:textId="77777777" w:rsidR="005D30DA" w:rsidRPr="005D30DA" w:rsidRDefault="005D30DA" w:rsidP="007D6CE3">
      <w:pPr>
        <w:pStyle w:val="FSCDraftingitem"/>
      </w:pPr>
      <w:r w:rsidRPr="005D30DA">
        <w:lastRenderedPageBreak/>
        <w:tab/>
        <w:t>substitute:</w:t>
      </w:r>
    </w:p>
    <w:p w14:paraId="0C19A35A" w14:textId="77777777" w:rsidR="005D30DA" w:rsidRPr="005D30DA" w:rsidRDefault="005D30DA" w:rsidP="00BB29C9">
      <w:pPr>
        <w:pStyle w:val="FSCtblMRL1"/>
      </w:pPr>
      <w:r w:rsidRPr="005D30DA">
        <w:t>Bulb onions (garlic; onion, bulb; shallots)</w:t>
      </w:r>
    </w:p>
    <w:p w14:paraId="4E9C7C86" w14:textId="77777777" w:rsidR="005D30DA" w:rsidRPr="005D30DA" w:rsidRDefault="005D30DA" w:rsidP="005D30DA">
      <w:pPr>
        <w:widowControl/>
        <w:tabs>
          <w:tab w:val="left" w:pos="851"/>
        </w:tabs>
        <w:spacing w:before="120" w:after="120"/>
        <w:rPr>
          <w:sz w:val="20"/>
          <w:szCs w:val="20"/>
          <w:lang w:bidi="ar-SA"/>
        </w:rPr>
      </w:pPr>
    </w:p>
    <w:p w14:paraId="64620FCC" w14:textId="77777777" w:rsidR="005D30DA" w:rsidRPr="005D30DA" w:rsidRDefault="005D30DA" w:rsidP="007D6CE3">
      <w:pPr>
        <w:pStyle w:val="FSCDraftingitem"/>
      </w:pPr>
      <w:r w:rsidRPr="005D30DA">
        <w:t>[42.2]</w:t>
      </w:r>
      <w:r w:rsidRPr="005D30DA">
        <w:tab/>
        <w:t>Omit:</w:t>
      </w:r>
    </w:p>
    <w:p w14:paraId="2104ED43" w14:textId="77777777" w:rsidR="005D30DA" w:rsidRPr="005D30DA" w:rsidRDefault="005D30DA" w:rsidP="00BB29C9">
      <w:pPr>
        <w:pStyle w:val="FSCtblMRL1"/>
      </w:pPr>
      <w:r w:rsidRPr="005D30DA">
        <w:t>Peppers, chili (except dried)</w:t>
      </w:r>
    </w:p>
    <w:p w14:paraId="550EE93F" w14:textId="77777777" w:rsidR="005D30DA" w:rsidRPr="005D30DA" w:rsidRDefault="005D30DA" w:rsidP="007D6CE3">
      <w:pPr>
        <w:pStyle w:val="FSCDraftingitem"/>
      </w:pPr>
      <w:r w:rsidRPr="005D30DA">
        <w:tab/>
        <w:t>substitute:</w:t>
      </w:r>
    </w:p>
    <w:p w14:paraId="381701C9" w14:textId="77777777" w:rsidR="005D30DA" w:rsidRPr="005D30DA" w:rsidRDefault="005D30DA" w:rsidP="00BB29C9">
      <w:pPr>
        <w:pStyle w:val="FSCtblMRL1"/>
      </w:pPr>
      <w:r w:rsidRPr="005D30DA">
        <w:t>Peppers, chili [except dried]</w:t>
      </w:r>
    </w:p>
    <w:p w14:paraId="65AC4513" w14:textId="77777777" w:rsidR="005D30DA" w:rsidRPr="005D30DA" w:rsidRDefault="005D30DA" w:rsidP="005D30DA">
      <w:pPr>
        <w:spacing w:before="120" w:after="120"/>
        <w:ind w:left="851" w:hanging="851"/>
        <w:rPr>
          <w:b/>
          <w:sz w:val="20"/>
          <w:szCs w:val="20"/>
          <w:shd w:val="clear" w:color="auto" w:fill="FFFFFF"/>
          <w:lang w:bidi="ar-SA"/>
        </w:rPr>
      </w:pPr>
    </w:p>
    <w:p w14:paraId="1CE2C791" w14:textId="77777777" w:rsidR="005D30DA" w:rsidRPr="005D30DA" w:rsidRDefault="005D30DA" w:rsidP="007D6CE3">
      <w:pPr>
        <w:pStyle w:val="FSCDraftingitemheading"/>
        <w:rPr>
          <w:shd w:val="clear" w:color="auto" w:fill="FFFFFF"/>
        </w:rPr>
      </w:pPr>
      <w:r w:rsidRPr="005D30DA">
        <w:rPr>
          <w:shd w:val="clear" w:color="auto" w:fill="FFFFFF"/>
        </w:rPr>
        <w:t>[43]</w:t>
      </w:r>
      <w:r w:rsidRPr="005D30DA">
        <w:rPr>
          <w:shd w:val="clear" w:color="auto" w:fill="FFFFFF"/>
        </w:rPr>
        <w:tab/>
        <w:t xml:space="preserve">Section S20—3 (table entry for </w:t>
      </w:r>
      <w:proofErr w:type="spellStart"/>
      <w:r w:rsidRPr="005D30DA">
        <w:rPr>
          <w:shd w:val="clear" w:color="auto" w:fill="FFFFFF"/>
        </w:rPr>
        <w:t>Agvet</w:t>
      </w:r>
      <w:proofErr w:type="spellEnd"/>
      <w:r w:rsidRPr="005D30DA">
        <w:rPr>
          <w:shd w:val="clear" w:color="auto" w:fill="FFFFFF"/>
        </w:rPr>
        <w:t xml:space="preserve"> chemical: </w:t>
      </w:r>
      <w:proofErr w:type="spellStart"/>
      <w:r w:rsidRPr="005D30DA">
        <w:rPr>
          <w:shd w:val="clear" w:color="auto" w:fill="FFFFFF"/>
        </w:rPr>
        <w:t>Fluoxapiprolin</w:t>
      </w:r>
      <w:proofErr w:type="spellEnd"/>
      <w:r w:rsidRPr="005D30DA">
        <w:rPr>
          <w:shd w:val="clear" w:color="auto" w:fill="FFFFFF"/>
        </w:rPr>
        <w:t>)</w:t>
      </w:r>
    </w:p>
    <w:p w14:paraId="430EBB1A" w14:textId="77777777" w:rsidR="005D30DA" w:rsidRPr="005D30DA" w:rsidRDefault="005D30DA" w:rsidP="007D6CE3">
      <w:pPr>
        <w:pStyle w:val="FSCDraftingitem"/>
        <w:rPr>
          <w:shd w:val="clear" w:color="auto" w:fill="FFFFFF"/>
        </w:rPr>
      </w:pPr>
      <w:r w:rsidRPr="005D30DA">
        <w:rPr>
          <w:shd w:val="clear" w:color="auto" w:fill="FFFFFF"/>
        </w:rPr>
        <w:t>[43.1]</w:t>
      </w:r>
      <w:r w:rsidRPr="005D30DA">
        <w:rPr>
          <w:shd w:val="clear" w:color="auto" w:fill="FFFFFF"/>
        </w:rPr>
        <w:tab/>
        <w:t>Omit the chemical listed and all entries for the chemical</w:t>
      </w:r>
    </w:p>
    <w:p w14:paraId="272C9B7B" w14:textId="77777777" w:rsidR="005D30DA" w:rsidRPr="005D30DA" w:rsidRDefault="005D30DA" w:rsidP="005D30DA">
      <w:pPr>
        <w:widowControl/>
        <w:tabs>
          <w:tab w:val="left" w:pos="851"/>
        </w:tabs>
        <w:spacing w:before="120" w:after="120"/>
        <w:ind w:left="850" w:hanging="850"/>
        <w:rPr>
          <w:bCs/>
          <w:sz w:val="20"/>
          <w:szCs w:val="20"/>
          <w:shd w:val="clear" w:color="auto" w:fill="FFFFFF"/>
          <w:lang w:bidi="ar-SA"/>
        </w:rPr>
      </w:pPr>
    </w:p>
    <w:p w14:paraId="755578A6" w14:textId="77777777" w:rsidR="005D30DA" w:rsidRPr="005D30DA" w:rsidRDefault="005D30DA" w:rsidP="007D6CE3">
      <w:pPr>
        <w:pStyle w:val="FSCDraftingitem"/>
        <w:ind w:left="851" w:hanging="851"/>
        <w:rPr>
          <w:shd w:val="clear" w:color="auto" w:fill="FFFFFF"/>
        </w:rPr>
      </w:pPr>
      <w:r w:rsidRPr="005D30DA">
        <w:rPr>
          <w:bCs/>
          <w:shd w:val="clear" w:color="auto" w:fill="FFFFFF"/>
        </w:rPr>
        <w:t>[43.2]</w:t>
      </w:r>
      <w:r w:rsidRPr="005D30DA">
        <w:rPr>
          <w:b/>
          <w:shd w:val="clear" w:color="auto" w:fill="FFFFFF"/>
        </w:rPr>
        <w:tab/>
      </w:r>
      <w:r w:rsidRPr="005D30DA">
        <w:rPr>
          <w:shd w:val="clear" w:color="auto" w:fill="FFFFFF"/>
        </w:rPr>
        <w:t>Insert in alphabetical order, the following chemical, its corresponding residue definition(s), food commodities and associated MRLs.</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37"/>
        <w:gridCol w:w="2137"/>
      </w:tblGrid>
      <w:tr w:rsidR="005D30DA" w:rsidRPr="005D30DA" w14:paraId="588E0848" w14:textId="77777777" w:rsidTr="004D1CBE">
        <w:trPr>
          <w:trHeight w:val="84"/>
        </w:trPr>
        <w:tc>
          <w:tcPr>
            <w:tcW w:w="4274" w:type="dxa"/>
            <w:gridSpan w:val="2"/>
            <w:tcBorders>
              <w:top w:val="none" w:sz="6" w:space="0" w:color="auto"/>
              <w:bottom w:val="none" w:sz="6" w:space="0" w:color="auto"/>
            </w:tcBorders>
          </w:tcPr>
          <w:p w14:paraId="6B0276A2" w14:textId="77777777" w:rsidR="005D30DA" w:rsidRPr="005D30DA" w:rsidRDefault="005D30DA" w:rsidP="00125A04">
            <w:pPr>
              <w:pStyle w:val="FSCtblh3"/>
              <w:rPr>
                <w:lang w:val="en-AU"/>
              </w:rPr>
            </w:pPr>
            <w:proofErr w:type="spellStart"/>
            <w:r w:rsidRPr="005D30DA">
              <w:rPr>
                <w:lang w:val="en-AU"/>
              </w:rPr>
              <w:t>Agvet</w:t>
            </w:r>
            <w:proofErr w:type="spellEnd"/>
            <w:r w:rsidRPr="005D30DA">
              <w:rPr>
                <w:lang w:val="en-AU"/>
              </w:rPr>
              <w:t xml:space="preserve"> chemical: </w:t>
            </w:r>
            <w:proofErr w:type="spellStart"/>
            <w:r w:rsidRPr="005D30DA">
              <w:rPr>
                <w:lang w:val="en-AU"/>
              </w:rPr>
              <w:t>Fluoxapiprolin</w:t>
            </w:r>
            <w:proofErr w:type="spellEnd"/>
            <w:r w:rsidRPr="005D30DA">
              <w:rPr>
                <w:lang w:val="en-AU"/>
              </w:rPr>
              <w:t xml:space="preserve"> </w:t>
            </w:r>
          </w:p>
        </w:tc>
      </w:tr>
      <w:tr w:rsidR="005D30DA" w:rsidRPr="005D30DA" w14:paraId="50A104B9" w14:textId="77777777" w:rsidTr="004D1CBE">
        <w:trPr>
          <w:trHeight w:val="84"/>
        </w:trPr>
        <w:tc>
          <w:tcPr>
            <w:tcW w:w="4274" w:type="dxa"/>
            <w:gridSpan w:val="2"/>
            <w:tcBorders>
              <w:top w:val="none" w:sz="6" w:space="0" w:color="auto"/>
              <w:bottom w:val="none" w:sz="6" w:space="0" w:color="auto"/>
            </w:tcBorders>
          </w:tcPr>
          <w:p w14:paraId="5BE08D7E" w14:textId="77777777" w:rsidR="005D30DA" w:rsidRPr="005D30DA" w:rsidRDefault="005D30DA" w:rsidP="00125A04">
            <w:pPr>
              <w:pStyle w:val="FSCtblh4"/>
              <w:rPr>
                <w:lang w:val="en-AU"/>
              </w:rPr>
            </w:pPr>
            <w:r w:rsidRPr="005D30DA">
              <w:rPr>
                <w:lang w:val="en-AU"/>
              </w:rPr>
              <w:t xml:space="preserve">Permitted residue: </w:t>
            </w:r>
            <w:proofErr w:type="spellStart"/>
            <w:r w:rsidRPr="005D30DA">
              <w:rPr>
                <w:lang w:val="en-AU"/>
              </w:rPr>
              <w:t>Fluoxapiprolin</w:t>
            </w:r>
            <w:proofErr w:type="spellEnd"/>
            <w:r w:rsidRPr="005D30DA">
              <w:rPr>
                <w:lang w:val="en-AU"/>
              </w:rPr>
              <w:t xml:space="preserve"> </w:t>
            </w:r>
          </w:p>
        </w:tc>
      </w:tr>
      <w:tr w:rsidR="005D30DA" w:rsidRPr="005D30DA" w14:paraId="66EB0642" w14:textId="77777777" w:rsidTr="004D1CBE">
        <w:trPr>
          <w:trHeight w:val="190"/>
        </w:trPr>
        <w:tc>
          <w:tcPr>
            <w:tcW w:w="2137" w:type="dxa"/>
            <w:tcBorders>
              <w:top w:val="none" w:sz="6" w:space="0" w:color="auto"/>
              <w:bottom w:val="none" w:sz="6" w:space="0" w:color="auto"/>
              <w:right w:val="none" w:sz="6" w:space="0" w:color="auto"/>
            </w:tcBorders>
          </w:tcPr>
          <w:p w14:paraId="4C3F00E7" w14:textId="77777777" w:rsidR="005D30DA" w:rsidRPr="005D30DA" w:rsidRDefault="005D30DA" w:rsidP="00BD19D1">
            <w:pPr>
              <w:pStyle w:val="FSCtblMRL1"/>
              <w:rPr>
                <w:lang w:val="en-AU"/>
              </w:rPr>
            </w:pPr>
            <w:r w:rsidRPr="005D30DA">
              <w:rPr>
                <w:lang w:val="en-AU"/>
              </w:rPr>
              <w:t xml:space="preserve">Dried grapes (= currants, raisins and sultanas) </w:t>
            </w:r>
          </w:p>
        </w:tc>
        <w:tc>
          <w:tcPr>
            <w:tcW w:w="2137" w:type="dxa"/>
            <w:tcBorders>
              <w:top w:val="none" w:sz="6" w:space="0" w:color="auto"/>
              <w:left w:val="none" w:sz="6" w:space="0" w:color="auto"/>
              <w:bottom w:val="none" w:sz="6" w:space="0" w:color="auto"/>
            </w:tcBorders>
          </w:tcPr>
          <w:p w14:paraId="281273A3" w14:textId="77777777" w:rsidR="005D30DA" w:rsidRPr="005D30DA" w:rsidRDefault="005D30DA" w:rsidP="00BD19D1">
            <w:pPr>
              <w:pStyle w:val="FSCtblMRL2"/>
              <w:rPr>
                <w:lang w:val="en-AU" w:eastAsia="en-GB"/>
              </w:rPr>
            </w:pPr>
            <w:r w:rsidRPr="005D30DA">
              <w:rPr>
                <w:lang w:val="en-AU" w:eastAsia="en-GB"/>
              </w:rPr>
              <w:t xml:space="preserve">0.5 </w:t>
            </w:r>
          </w:p>
        </w:tc>
      </w:tr>
      <w:tr w:rsidR="005D30DA" w:rsidRPr="005D30DA" w14:paraId="6248DCC9" w14:textId="77777777" w:rsidTr="004D1CBE">
        <w:trPr>
          <w:trHeight w:val="84"/>
        </w:trPr>
        <w:tc>
          <w:tcPr>
            <w:tcW w:w="2137" w:type="dxa"/>
            <w:tcBorders>
              <w:top w:val="none" w:sz="6" w:space="0" w:color="auto"/>
              <w:bottom w:val="none" w:sz="6" w:space="0" w:color="auto"/>
              <w:right w:val="none" w:sz="6" w:space="0" w:color="auto"/>
            </w:tcBorders>
          </w:tcPr>
          <w:p w14:paraId="615C0E35" w14:textId="77777777" w:rsidR="005D30DA" w:rsidRPr="005D30DA" w:rsidRDefault="005D30DA" w:rsidP="00BD19D1">
            <w:pPr>
              <w:pStyle w:val="FSCtblMRL1"/>
              <w:rPr>
                <w:lang w:val="en-AU"/>
              </w:rPr>
            </w:pPr>
            <w:r w:rsidRPr="005D30DA">
              <w:rPr>
                <w:lang w:val="en-AU"/>
              </w:rPr>
              <w:t xml:space="preserve">Edible offal (mammalian) </w:t>
            </w:r>
          </w:p>
        </w:tc>
        <w:tc>
          <w:tcPr>
            <w:tcW w:w="2137" w:type="dxa"/>
            <w:tcBorders>
              <w:top w:val="none" w:sz="6" w:space="0" w:color="auto"/>
              <w:left w:val="none" w:sz="6" w:space="0" w:color="auto"/>
              <w:bottom w:val="none" w:sz="6" w:space="0" w:color="auto"/>
            </w:tcBorders>
          </w:tcPr>
          <w:p w14:paraId="2399E73D" w14:textId="77777777" w:rsidR="005D30DA" w:rsidRPr="005D30DA" w:rsidRDefault="005D30DA" w:rsidP="00BD19D1">
            <w:pPr>
              <w:pStyle w:val="FSCtblMRL2"/>
              <w:rPr>
                <w:lang w:val="en-AU" w:eastAsia="en-GB"/>
              </w:rPr>
            </w:pPr>
            <w:r w:rsidRPr="005D30DA">
              <w:rPr>
                <w:lang w:val="en-AU" w:eastAsia="en-GB"/>
              </w:rPr>
              <w:t xml:space="preserve">*0.01 </w:t>
            </w:r>
          </w:p>
        </w:tc>
      </w:tr>
      <w:tr w:rsidR="005D30DA" w:rsidRPr="005D30DA" w14:paraId="290AB78D" w14:textId="77777777" w:rsidTr="004D1CBE">
        <w:trPr>
          <w:trHeight w:val="84"/>
        </w:trPr>
        <w:tc>
          <w:tcPr>
            <w:tcW w:w="2137" w:type="dxa"/>
            <w:tcBorders>
              <w:top w:val="none" w:sz="6" w:space="0" w:color="auto"/>
              <w:bottom w:val="none" w:sz="6" w:space="0" w:color="auto"/>
              <w:right w:val="none" w:sz="6" w:space="0" w:color="auto"/>
            </w:tcBorders>
          </w:tcPr>
          <w:p w14:paraId="204AEBC1" w14:textId="77777777" w:rsidR="005D30DA" w:rsidRPr="005D30DA" w:rsidRDefault="005D30DA" w:rsidP="00BD19D1">
            <w:pPr>
              <w:pStyle w:val="FSCtblMRL1"/>
              <w:rPr>
                <w:lang w:val="en-AU"/>
              </w:rPr>
            </w:pPr>
            <w:r w:rsidRPr="005D30DA">
              <w:rPr>
                <w:lang w:val="en-AU"/>
              </w:rPr>
              <w:t xml:space="preserve">Eggs </w:t>
            </w:r>
          </w:p>
        </w:tc>
        <w:tc>
          <w:tcPr>
            <w:tcW w:w="2137" w:type="dxa"/>
            <w:tcBorders>
              <w:top w:val="none" w:sz="6" w:space="0" w:color="auto"/>
              <w:left w:val="none" w:sz="6" w:space="0" w:color="auto"/>
              <w:bottom w:val="none" w:sz="6" w:space="0" w:color="auto"/>
            </w:tcBorders>
          </w:tcPr>
          <w:p w14:paraId="754311B1" w14:textId="77777777" w:rsidR="005D30DA" w:rsidRPr="005D30DA" w:rsidRDefault="005D30DA" w:rsidP="00BD19D1">
            <w:pPr>
              <w:pStyle w:val="FSCtblMRL2"/>
              <w:rPr>
                <w:lang w:val="en-AU" w:eastAsia="en-GB"/>
              </w:rPr>
            </w:pPr>
            <w:r w:rsidRPr="005D30DA">
              <w:rPr>
                <w:lang w:val="en-AU" w:eastAsia="en-GB"/>
              </w:rPr>
              <w:t xml:space="preserve">*0.01 </w:t>
            </w:r>
          </w:p>
        </w:tc>
      </w:tr>
      <w:tr w:rsidR="005D30DA" w:rsidRPr="005D30DA" w14:paraId="1F51D9F6" w14:textId="77777777" w:rsidTr="004D1CBE">
        <w:trPr>
          <w:trHeight w:val="84"/>
        </w:trPr>
        <w:tc>
          <w:tcPr>
            <w:tcW w:w="2137" w:type="dxa"/>
            <w:tcBorders>
              <w:top w:val="none" w:sz="6" w:space="0" w:color="auto"/>
              <w:bottom w:val="none" w:sz="6" w:space="0" w:color="auto"/>
              <w:right w:val="none" w:sz="6" w:space="0" w:color="auto"/>
            </w:tcBorders>
          </w:tcPr>
          <w:p w14:paraId="1B3066A1" w14:textId="77777777" w:rsidR="005D30DA" w:rsidRPr="005D30DA" w:rsidRDefault="005D30DA" w:rsidP="00BD19D1">
            <w:pPr>
              <w:pStyle w:val="FSCtblMRL1"/>
              <w:rPr>
                <w:lang w:val="en-AU"/>
              </w:rPr>
            </w:pPr>
            <w:r w:rsidRPr="005D30DA">
              <w:rPr>
                <w:lang w:val="en-AU"/>
              </w:rPr>
              <w:t xml:space="preserve">Grapes </w:t>
            </w:r>
          </w:p>
        </w:tc>
        <w:tc>
          <w:tcPr>
            <w:tcW w:w="2137" w:type="dxa"/>
            <w:tcBorders>
              <w:top w:val="none" w:sz="6" w:space="0" w:color="auto"/>
              <w:left w:val="none" w:sz="6" w:space="0" w:color="auto"/>
              <w:bottom w:val="none" w:sz="6" w:space="0" w:color="auto"/>
            </w:tcBorders>
          </w:tcPr>
          <w:p w14:paraId="2ADDF021" w14:textId="77777777" w:rsidR="005D30DA" w:rsidRPr="005D30DA" w:rsidRDefault="005D30DA" w:rsidP="00BD19D1">
            <w:pPr>
              <w:pStyle w:val="FSCtblMRL2"/>
              <w:rPr>
                <w:lang w:val="en-AU" w:eastAsia="en-GB"/>
              </w:rPr>
            </w:pPr>
            <w:r w:rsidRPr="005D30DA">
              <w:rPr>
                <w:lang w:val="en-AU" w:eastAsia="en-GB"/>
              </w:rPr>
              <w:t xml:space="preserve">0.15 </w:t>
            </w:r>
          </w:p>
        </w:tc>
      </w:tr>
      <w:tr w:rsidR="005D30DA" w:rsidRPr="005D30DA" w14:paraId="2C832B18" w14:textId="77777777" w:rsidTr="004D1CBE">
        <w:trPr>
          <w:trHeight w:val="84"/>
        </w:trPr>
        <w:tc>
          <w:tcPr>
            <w:tcW w:w="2137" w:type="dxa"/>
            <w:tcBorders>
              <w:top w:val="none" w:sz="6" w:space="0" w:color="auto"/>
              <w:bottom w:val="none" w:sz="6" w:space="0" w:color="auto"/>
              <w:right w:val="none" w:sz="6" w:space="0" w:color="auto"/>
            </w:tcBorders>
          </w:tcPr>
          <w:p w14:paraId="22238025" w14:textId="77777777" w:rsidR="005D30DA" w:rsidRPr="005D30DA" w:rsidRDefault="005D30DA" w:rsidP="00BD19D1">
            <w:pPr>
              <w:pStyle w:val="FSCtblMRL1"/>
              <w:rPr>
                <w:lang w:val="en-AU"/>
              </w:rPr>
            </w:pPr>
            <w:r w:rsidRPr="005D30DA">
              <w:rPr>
                <w:lang w:val="en-AU"/>
              </w:rPr>
              <w:t xml:space="preserve">Meat (mammalian) [in the fat] </w:t>
            </w:r>
          </w:p>
        </w:tc>
        <w:tc>
          <w:tcPr>
            <w:tcW w:w="2137" w:type="dxa"/>
            <w:tcBorders>
              <w:top w:val="none" w:sz="6" w:space="0" w:color="auto"/>
              <w:left w:val="none" w:sz="6" w:space="0" w:color="auto"/>
              <w:bottom w:val="none" w:sz="6" w:space="0" w:color="auto"/>
            </w:tcBorders>
          </w:tcPr>
          <w:p w14:paraId="46F7D3BF" w14:textId="77777777" w:rsidR="005D30DA" w:rsidRPr="005D30DA" w:rsidRDefault="005D30DA" w:rsidP="00BD19D1">
            <w:pPr>
              <w:pStyle w:val="FSCtblMRL2"/>
              <w:rPr>
                <w:lang w:val="en-AU" w:eastAsia="en-GB"/>
              </w:rPr>
            </w:pPr>
            <w:r w:rsidRPr="005D30DA">
              <w:rPr>
                <w:lang w:val="en-AU" w:eastAsia="en-GB"/>
              </w:rPr>
              <w:t xml:space="preserve">*0.01 </w:t>
            </w:r>
          </w:p>
        </w:tc>
      </w:tr>
      <w:tr w:rsidR="005D30DA" w:rsidRPr="005D30DA" w14:paraId="4BF19A22" w14:textId="77777777" w:rsidTr="004D1CBE">
        <w:trPr>
          <w:trHeight w:val="84"/>
        </w:trPr>
        <w:tc>
          <w:tcPr>
            <w:tcW w:w="2137" w:type="dxa"/>
            <w:tcBorders>
              <w:top w:val="none" w:sz="6" w:space="0" w:color="auto"/>
              <w:bottom w:val="none" w:sz="6" w:space="0" w:color="auto"/>
              <w:right w:val="none" w:sz="6" w:space="0" w:color="auto"/>
            </w:tcBorders>
          </w:tcPr>
          <w:p w14:paraId="3F18EFFE" w14:textId="77777777" w:rsidR="005D30DA" w:rsidRPr="005D30DA" w:rsidRDefault="005D30DA" w:rsidP="00BD19D1">
            <w:pPr>
              <w:pStyle w:val="FSCtblMRL1"/>
              <w:rPr>
                <w:lang w:val="en-AU"/>
              </w:rPr>
            </w:pPr>
            <w:r w:rsidRPr="005D30DA">
              <w:rPr>
                <w:lang w:val="en-AU"/>
              </w:rPr>
              <w:t xml:space="preserve">Milks </w:t>
            </w:r>
          </w:p>
        </w:tc>
        <w:tc>
          <w:tcPr>
            <w:tcW w:w="2137" w:type="dxa"/>
            <w:tcBorders>
              <w:top w:val="none" w:sz="6" w:space="0" w:color="auto"/>
              <w:left w:val="none" w:sz="6" w:space="0" w:color="auto"/>
              <w:bottom w:val="none" w:sz="6" w:space="0" w:color="auto"/>
            </w:tcBorders>
          </w:tcPr>
          <w:p w14:paraId="3ABBA68F" w14:textId="77777777" w:rsidR="005D30DA" w:rsidRPr="005D30DA" w:rsidRDefault="005D30DA" w:rsidP="00BD19D1">
            <w:pPr>
              <w:pStyle w:val="FSCtblMRL2"/>
              <w:rPr>
                <w:lang w:val="en-AU" w:eastAsia="en-GB"/>
              </w:rPr>
            </w:pPr>
            <w:r w:rsidRPr="005D30DA">
              <w:rPr>
                <w:lang w:val="en-AU" w:eastAsia="en-GB"/>
              </w:rPr>
              <w:t xml:space="preserve">*0.01 </w:t>
            </w:r>
          </w:p>
        </w:tc>
      </w:tr>
      <w:tr w:rsidR="005D30DA" w:rsidRPr="005D30DA" w14:paraId="3BB3244E" w14:textId="77777777" w:rsidTr="004D1CBE">
        <w:trPr>
          <w:trHeight w:val="84"/>
        </w:trPr>
        <w:tc>
          <w:tcPr>
            <w:tcW w:w="2137" w:type="dxa"/>
            <w:tcBorders>
              <w:top w:val="none" w:sz="6" w:space="0" w:color="auto"/>
              <w:bottom w:val="none" w:sz="6" w:space="0" w:color="auto"/>
              <w:right w:val="none" w:sz="6" w:space="0" w:color="auto"/>
            </w:tcBorders>
          </w:tcPr>
          <w:p w14:paraId="0EB2F08F" w14:textId="77777777" w:rsidR="005D30DA" w:rsidRPr="005D30DA" w:rsidRDefault="005D30DA" w:rsidP="00BD19D1">
            <w:pPr>
              <w:pStyle w:val="FSCtblMRL1"/>
              <w:rPr>
                <w:lang w:val="en-AU"/>
              </w:rPr>
            </w:pPr>
            <w:r w:rsidRPr="005D30DA">
              <w:rPr>
                <w:lang w:val="en-AU"/>
              </w:rPr>
              <w:t xml:space="preserve">Poultry, edible offal of </w:t>
            </w:r>
          </w:p>
        </w:tc>
        <w:tc>
          <w:tcPr>
            <w:tcW w:w="2137" w:type="dxa"/>
            <w:tcBorders>
              <w:top w:val="none" w:sz="6" w:space="0" w:color="auto"/>
              <w:left w:val="none" w:sz="6" w:space="0" w:color="auto"/>
              <w:bottom w:val="none" w:sz="6" w:space="0" w:color="auto"/>
            </w:tcBorders>
          </w:tcPr>
          <w:p w14:paraId="01C34823" w14:textId="77777777" w:rsidR="005D30DA" w:rsidRPr="005D30DA" w:rsidRDefault="005D30DA" w:rsidP="00BD19D1">
            <w:pPr>
              <w:pStyle w:val="FSCtblMRL2"/>
              <w:rPr>
                <w:lang w:val="en-AU" w:eastAsia="en-GB"/>
              </w:rPr>
            </w:pPr>
            <w:r w:rsidRPr="005D30DA">
              <w:rPr>
                <w:lang w:val="en-AU" w:eastAsia="en-GB"/>
              </w:rPr>
              <w:t xml:space="preserve">*0.01 </w:t>
            </w:r>
          </w:p>
        </w:tc>
      </w:tr>
      <w:tr w:rsidR="005D30DA" w:rsidRPr="005D30DA" w14:paraId="1036CA3B" w14:textId="77777777" w:rsidTr="004D1CBE">
        <w:trPr>
          <w:trHeight w:val="84"/>
        </w:trPr>
        <w:tc>
          <w:tcPr>
            <w:tcW w:w="2137" w:type="dxa"/>
            <w:tcBorders>
              <w:top w:val="none" w:sz="6" w:space="0" w:color="auto"/>
              <w:bottom w:val="none" w:sz="6" w:space="0" w:color="auto"/>
              <w:right w:val="none" w:sz="6" w:space="0" w:color="auto"/>
            </w:tcBorders>
          </w:tcPr>
          <w:p w14:paraId="6284AA04" w14:textId="77777777" w:rsidR="005D30DA" w:rsidRPr="005D30DA" w:rsidRDefault="005D30DA" w:rsidP="00BD19D1">
            <w:pPr>
              <w:pStyle w:val="FSCtblMRL1"/>
              <w:rPr>
                <w:lang w:val="en-AU"/>
              </w:rPr>
            </w:pPr>
            <w:r w:rsidRPr="005D30DA">
              <w:rPr>
                <w:lang w:val="en-AU"/>
              </w:rPr>
              <w:t xml:space="preserve">Poultry meat [in the fat] </w:t>
            </w:r>
          </w:p>
        </w:tc>
        <w:tc>
          <w:tcPr>
            <w:tcW w:w="2137" w:type="dxa"/>
            <w:tcBorders>
              <w:top w:val="none" w:sz="6" w:space="0" w:color="auto"/>
              <w:left w:val="none" w:sz="6" w:space="0" w:color="auto"/>
              <w:bottom w:val="none" w:sz="6" w:space="0" w:color="auto"/>
            </w:tcBorders>
          </w:tcPr>
          <w:p w14:paraId="167B3898" w14:textId="77777777" w:rsidR="005D30DA" w:rsidRPr="005D30DA" w:rsidRDefault="005D30DA" w:rsidP="00BD19D1">
            <w:pPr>
              <w:pStyle w:val="FSCtblMRL2"/>
              <w:rPr>
                <w:lang w:val="en-AU" w:eastAsia="en-GB"/>
              </w:rPr>
            </w:pPr>
            <w:r w:rsidRPr="005D30DA">
              <w:rPr>
                <w:lang w:val="en-AU" w:eastAsia="en-GB"/>
              </w:rPr>
              <w:t xml:space="preserve">*0.01 </w:t>
            </w:r>
          </w:p>
        </w:tc>
      </w:tr>
    </w:tbl>
    <w:p w14:paraId="07E1022B" w14:textId="77777777" w:rsidR="005D30DA" w:rsidRPr="005D30DA" w:rsidRDefault="005D30DA" w:rsidP="005D30DA">
      <w:pPr>
        <w:spacing w:before="120" w:after="120"/>
        <w:rPr>
          <w:b/>
          <w:sz w:val="20"/>
          <w:szCs w:val="20"/>
          <w:shd w:val="clear" w:color="auto" w:fill="FFFFFF"/>
          <w:lang w:bidi="ar-SA"/>
        </w:rPr>
      </w:pPr>
    </w:p>
    <w:p w14:paraId="5E1CDF52" w14:textId="77777777" w:rsidR="005D30DA" w:rsidRPr="005D30DA" w:rsidRDefault="005D30DA" w:rsidP="000E046F">
      <w:pPr>
        <w:pStyle w:val="FSCDraftingitemheading"/>
      </w:pPr>
      <w:r w:rsidRPr="005D30DA">
        <w:rPr>
          <w:shd w:val="clear" w:color="auto" w:fill="FFFFFF"/>
        </w:rPr>
        <w:t>[44]</w:t>
      </w:r>
      <w:r w:rsidRPr="005D30DA">
        <w:rPr>
          <w:shd w:val="clear" w:color="auto" w:fill="FFFFFF"/>
        </w:rPr>
        <w:tab/>
        <w:t>Section</w:t>
      </w:r>
      <w:r w:rsidRPr="005D30DA">
        <w:t xml:space="preserve"> S20—3 (table entry for </w:t>
      </w:r>
      <w:proofErr w:type="spellStart"/>
      <w:r w:rsidRPr="005D30DA">
        <w:t>Agvet</w:t>
      </w:r>
      <w:proofErr w:type="spellEnd"/>
      <w:r w:rsidRPr="005D30DA">
        <w:t xml:space="preserve"> chemical: Fluxapyroxad)</w:t>
      </w:r>
      <w:bookmarkEnd w:id="95"/>
    </w:p>
    <w:p w14:paraId="14B0335E" w14:textId="77777777" w:rsidR="005D30DA" w:rsidRPr="005D30DA" w:rsidRDefault="005D30DA" w:rsidP="000E046F">
      <w:pPr>
        <w:pStyle w:val="FSCDraftingitem"/>
        <w:rPr>
          <w:shd w:val="clear" w:color="auto" w:fill="FFFFFF"/>
        </w:rPr>
      </w:pPr>
      <w:r w:rsidRPr="005D30DA">
        <w:rPr>
          <w:shd w:val="clear" w:color="auto" w:fill="FFFFFF"/>
        </w:rPr>
        <w:tab/>
        <w:t>Omit:</w:t>
      </w:r>
    </w:p>
    <w:p w14:paraId="46AF6A2D" w14:textId="77777777" w:rsidR="005D30DA" w:rsidRPr="005D30DA" w:rsidRDefault="005D30DA" w:rsidP="000E046F">
      <w:pPr>
        <w:pStyle w:val="FSCtblMRL1"/>
        <w:rPr>
          <w:shd w:val="clear" w:color="auto" w:fill="FFFFFF"/>
        </w:rPr>
      </w:pPr>
      <w:r w:rsidRPr="005D30DA">
        <w:rPr>
          <w:lang w:val="en-AU"/>
        </w:rPr>
        <w:t>Berries</w:t>
      </w:r>
      <w:r w:rsidRPr="005D30DA">
        <w:rPr>
          <w:shd w:val="clear" w:color="auto" w:fill="FFFFFF"/>
        </w:rPr>
        <w:t xml:space="preserve"> and other small fruit (except grapes)</w:t>
      </w:r>
    </w:p>
    <w:p w14:paraId="52890FB2" w14:textId="77777777" w:rsidR="005D30DA" w:rsidRPr="005D30DA" w:rsidRDefault="005D30DA" w:rsidP="000E046F">
      <w:pPr>
        <w:pStyle w:val="FSCDraftingitem"/>
        <w:rPr>
          <w:shd w:val="clear" w:color="auto" w:fill="FFFFFF"/>
        </w:rPr>
      </w:pPr>
      <w:r w:rsidRPr="005D30DA">
        <w:rPr>
          <w:shd w:val="clear" w:color="auto" w:fill="FFFFFF"/>
        </w:rPr>
        <w:tab/>
        <w:t>substitute:</w:t>
      </w:r>
    </w:p>
    <w:p w14:paraId="6F2C0736" w14:textId="77777777" w:rsidR="005D30DA" w:rsidRPr="005D30DA" w:rsidRDefault="005D30DA" w:rsidP="000E046F">
      <w:pPr>
        <w:pStyle w:val="FSCtblMRL1"/>
        <w:rPr>
          <w:shd w:val="clear" w:color="auto" w:fill="FFFFFF"/>
        </w:rPr>
      </w:pPr>
      <w:r w:rsidRPr="005D30DA">
        <w:rPr>
          <w:lang w:val="en-AU"/>
        </w:rPr>
        <w:t>Berries</w:t>
      </w:r>
      <w:r w:rsidRPr="005D30DA">
        <w:rPr>
          <w:shd w:val="clear" w:color="auto" w:fill="FFFFFF"/>
        </w:rPr>
        <w:t xml:space="preserve"> and other small </w:t>
      </w:r>
      <w:r w:rsidRPr="005D30DA">
        <w:rPr>
          <w:lang w:val="en-AU"/>
        </w:rPr>
        <w:t>fruit</w:t>
      </w:r>
      <w:r w:rsidRPr="005D30DA">
        <w:rPr>
          <w:shd w:val="clear" w:color="auto" w:fill="FFFFFF"/>
        </w:rPr>
        <w:t xml:space="preserve"> [except grapes]</w:t>
      </w:r>
    </w:p>
    <w:p w14:paraId="071DA3DF" w14:textId="77777777" w:rsidR="005D30DA" w:rsidRPr="005D30DA" w:rsidRDefault="005D30DA" w:rsidP="005D30DA">
      <w:pPr>
        <w:keepLines/>
        <w:widowControl/>
        <w:spacing w:before="20" w:after="20"/>
        <w:rPr>
          <w:rFonts w:cs="Arial"/>
          <w:sz w:val="18"/>
          <w:szCs w:val="20"/>
          <w:shd w:val="clear" w:color="auto" w:fill="FFFFFF"/>
          <w:lang w:eastAsia="en-AU" w:bidi="ar-SA"/>
        </w:rPr>
      </w:pPr>
    </w:p>
    <w:p w14:paraId="1724623A" w14:textId="77777777" w:rsidR="005D30DA" w:rsidRPr="005D30DA" w:rsidRDefault="005D30DA" w:rsidP="00D91E75">
      <w:pPr>
        <w:pStyle w:val="FSCDraftingitemheading"/>
      </w:pPr>
      <w:r w:rsidRPr="005D30DA">
        <w:t>[45]</w:t>
      </w:r>
      <w:r w:rsidRPr="005D30DA">
        <w:tab/>
      </w:r>
      <w:r w:rsidRPr="005D30DA">
        <w:rPr>
          <w:shd w:val="clear" w:color="auto" w:fill="FFFFFF"/>
        </w:rPr>
        <w:t>Section</w:t>
      </w:r>
      <w:r w:rsidRPr="005D30DA">
        <w:t xml:space="preserve"> S20—3 (table entry for </w:t>
      </w:r>
      <w:proofErr w:type="spellStart"/>
      <w:r w:rsidRPr="005D30DA">
        <w:t>Agvet</w:t>
      </w:r>
      <w:proofErr w:type="spellEnd"/>
      <w:r w:rsidRPr="005D30DA">
        <w:t xml:space="preserve"> chemical: </w:t>
      </w:r>
      <w:proofErr w:type="spellStart"/>
      <w:r w:rsidRPr="005D30DA">
        <w:t>Imazamox</w:t>
      </w:r>
      <w:proofErr w:type="spellEnd"/>
      <w:r w:rsidRPr="005D30DA">
        <w:t>)</w:t>
      </w:r>
    </w:p>
    <w:p w14:paraId="69D91818" w14:textId="77777777" w:rsidR="005D30DA" w:rsidRPr="005D30DA" w:rsidRDefault="005D30DA" w:rsidP="00C14A61">
      <w:pPr>
        <w:pStyle w:val="FSCDraftingitem"/>
      </w:pPr>
      <w:r w:rsidRPr="005D30DA">
        <w:tab/>
      </w:r>
      <w:r w:rsidRPr="005D30DA">
        <w:rPr>
          <w:shd w:val="clear" w:color="auto" w:fill="FFFFFF"/>
        </w:rPr>
        <w:t>Omit</w:t>
      </w:r>
      <w:r w:rsidRPr="005D30DA">
        <w:t>:</w:t>
      </w:r>
    </w:p>
    <w:p w14:paraId="487E466E" w14:textId="77777777" w:rsidR="005D30DA" w:rsidRPr="005D30DA" w:rsidRDefault="005D30DA" w:rsidP="006F71F9">
      <w:pPr>
        <w:pStyle w:val="FSCtblMRL1"/>
      </w:pPr>
      <w:r w:rsidRPr="005D30DA">
        <w:t xml:space="preserve">All </w:t>
      </w:r>
      <w:r w:rsidRPr="005D30DA">
        <w:rPr>
          <w:shd w:val="clear" w:color="auto" w:fill="FFFFFF"/>
        </w:rPr>
        <w:t>other</w:t>
      </w:r>
      <w:r w:rsidRPr="005D30DA">
        <w:t xml:space="preserve"> foods except animal food commodities’ </w:t>
      </w:r>
      <w:r w:rsidRPr="005D30DA">
        <w:tab/>
      </w:r>
      <w:r w:rsidRPr="005D30DA">
        <w:tab/>
      </w:r>
    </w:p>
    <w:p w14:paraId="2F60D183" w14:textId="77777777" w:rsidR="005D30DA" w:rsidRPr="005D30DA" w:rsidRDefault="005D30DA" w:rsidP="00C14A61">
      <w:pPr>
        <w:pStyle w:val="FSCDraftingitem"/>
      </w:pPr>
      <w:r w:rsidRPr="005D30DA">
        <w:tab/>
      </w:r>
      <w:r w:rsidRPr="005D30DA">
        <w:rPr>
          <w:shd w:val="clear" w:color="auto" w:fill="FFFFFF"/>
        </w:rPr>
        <w:t>substitute</w:t>
      </w:r>
      <w:r w:rsidRPr="005D30DA">
        <w:t>:</w:t>
      </w:r>
    </w:p>
    <w:p w14:paraId="3052697B" w14:textId="77777777" w:rsidR="005D30DA" w:rsidRPr="005D30DA" w:rsidRDefault="005D30DA" w:rsidP="006F71F9">
      <w:pPr>
        <w:pStyle w:val="FSCtblMRL1"/>
      </w:pPr>
      <w:r w:rsidRPr="005D30DA">
        <w:t xml:space="preserve">All </w:t>
      </w:r>
      <w:r w:rsidRPr="005D30DA">
        <w:rPr>
          <w:shd w:val="clear" w:color="auto" w:fill="FFFFFF"/>
        </w:rPr>
        <w:t>other</w:t>
      </w:r>
      <w:r w:rsidRPr="005D30DA">
        <w:t xml:space="preserve"> foods except animal food commodities</w:t>
      </w:r>
      <w:bookmarkStart w:id="98" w:name="_Hlk112247687"/>
    </w:p>
    <w:p w14:paraId="64A553D2" w14:textId="77777777" w:rsidR="005D30DA" w:rsidRPr="005D30DA" w:rsidRDefault="005D30DA" w:rsidP="005D30DA">
      <w:pPr>
        <w:keepLines/>
        <w:widowControl/>
        <w:spacing w:before="20" w:after="20"/>
        <w:rPr>
          <w:rFonts w:cs="Arial"/>
          <w:sz w:val="18"/>
          <w:szCs w:val="20"/>
          <w:lang w:eastAsia="en-AU" w:bidi="ar-SA"/>
        </w:rPr>
      </w:pPr>
    </w:p>
    <w:p w14:paraId="358D8BB6" w14:textId="77777777" w:rsidR="005D30DA" w:rsidRPr="005D30DA" w:rsidRDefault="005D30DA" w:rsidP="00D91E75">
      <w:pPr>
        <w:pStyle w:val="FSCDraftingitemheading"/>
      </w:pPr>
      <w:r w:rsidRPr="005D30DA">
        <w:t>[46]</w:t>
      </w:r>
      <w:r w:rsidRPr="005D30DA">
        <w:tab/>
        <w:t xml:space="preserve">Section S20—3 (table entry for </w:t>
      </w:r>
      <w:proofErr w:type="spellStart"/>
      <w:r w:rsidRPr="005D30DA">
        <w:t>Agvet</w:t>
      </w:r>
      <w:proofErr w:type="spellEnd"/>
      <w:r w:rsidRPr="005D30DA">
        <w:t xml:space="preserve"> chemical: </w:t>
      </w:r>
      <w:proofErr w:type="spellStart"/>
      <w:r w:rsidRPr="005D30DA">
        <w:t>Kresoxim</w:t>
      </w:r>
      <w:proofErr w:type="spellEnd"/>
      <w:r w:rsidRPr="005D30DA">
        <w:t>-methyl)</w:t>
      </w:r>
    </w:p>
    <w:p w14:paraId="12359897" w14:textId="77777777" w:rsidR="005D30DA" w:rsidRPr="005D30DA" w:rsidRDefault="005D30DA" w:rsidP="00C14A61">
      <w:pPr>
        <w:pStyle w:val="FSCDraftingitem"/>
      </w:pPr>
      <w:r w:rsidRPr="005D30DA">
        <w:tab/>
      </w:r>
      <w:r w:rsidRPr="005D30DA">
        <w:rPr>
          <w:shd w:val="clear" w:color="auto" w:fill="FFFFFF"/>
        </w:rPr>
        <w:t>Omit</w:t>
      </w:r>
      <w:r w:rsidRPr="005D30DA">
        <w:t>:</w:t>
      </w:r>
    </w:p>
    <w:p w14:paraId="2D2B99AB" w14:textId="77777777" w:rsidR="005D30DA" w:rsidRPr="005D30DA" w:rsidRDefault="005D30DA" w:rsidP="006F71F9">
      <w:pPr>
        <w:pStyle w:val="FSCtblMRL1"/>
      </w:pPr>
      <w:r w:rsidRPr="005D30DA">
        <w:t xml:space="preserve">Barley, similar grains, and </w:t>
      </w:r>
      <w:proofErr w:type="spellStart"/>
      <w:r w:rsidRPr="005D30DA">
        <w:t>pseudocereals</w:t>
      </w:r>
      <w:proofErr w:type="spellEnd"/>
      <w:r w:rsidRPr="005D30DA">
        <w:t xml:space="preserve"> with husks (=barley; buckwheat; oats)</w:t>
      </w:r>
    </w:p>
    <w:p w14:paraId="7CB31387" w14:textId="77777777" w:rsidR="005D30DA" w:rsidRPr="005D30DA" w:rsidRDefault="005D30DA" w:rsidP="00C14A61">
      <w:pPr>
        <w:pStyle w:val="FSCDraftingitem"/>
      </w:pPr>
      <w:r w:rsidRPr="005D30DA">
        <w:tab/>
      </w:r>
      <w:r w:rsidRPr="005D30DA">
        <w:rPr>
          <w:shd w:val="clear" w:color="auto" w:fill="FFFFFF"/>
        </w:rPr>
        <w:t>substitute</w:t>
      </w:r>
      <w:r w:rsidRPr="005D30DA">
        <w:t>:</w:t>
      </w:r>
    </w:p>
    <w:p w14:paraId="7D011D26" w14:textId="77777777" w:rsidR="005D30DA" w:rsidRPr="005D30DA" w:rsidRDefault="005D30DA" w:rsidP="006F71F9">
      <w:pPr>
        <w:pStyle w:val="FSCtblMRL1"/>
      </w:pPr>
      <w:r w:rsidRPr="005D30DA">
        <w:t xml:space="preserve">Barley, similar grains, and </w:t>
      </w:r>
      <w:proofErr w:type="spellStart"/>
      <w:r w:rsidRPr="005D30DA">
        <w:t>pseudocereals</w:t>
      </w:r>
      <w:proofErr w:type="spellEnd"/>
      <w:r w:rsidRPr="005D30DA">
        <w:t xml:space="preserve"> with husks (barley; buckwheat; oats)</w:t>
      </w:r>
    </w:p>
    <w:p w14:paraId="2EC8256E" w14:textId="77777777" w:rsidR="005D30DA" w:rsidRPr="005D30DA" w:rsidRDefault="005D30DA" w:rsidP="005D30DA">
      <w:pPr>
        <w:spacing w:before="120" w:after="120"/>
        <w:ind w:left="851" w:hanging="851"/>
        <w:rPr>
          <w:b/>
          <w:sz w:val="20"/>
          <w:szCs w:val="20"/>
          <w:shd w:val="clear" w:color="auto" w:fill="FFFFFF"/>
          <w:lang w:bidi="ar-SA"/>
        </w:rPr>
      </w:pPr>
    </w:p>
    <w:p w14:paraId="4F50B2B8" w14:textId="77777777" w:rsidR="005D30DA" w:rsidRPr="005D30DA" w:rsidRDefault="005D30DA" w:rsidP="00D91E75">
      <w:pPr>
        <w:pStyle w:val="FSCDraftingitemheading"/>
      </w:pPr>
      <w:r w:rsidRPr="005D30DA">
        <w:rPr>
          <w:shd w:val="clear" w:color="auto" w:fill="FFFFFF"/>
        </w:rPr>
        <w:lastRenderedPageBreak/>
        <w:t>[47]</w:t>
      </w:r>
      <w:r w:rsidRPr="005D30DA">
        <w:rPr>
          <w:shd w:val="clear" w:color="auto" w:fill="FFFFFF"/>
        </w:rPr>
        <w:tab/>
      </w:r>
      <w:r w:rsidRPr="005D30DA">
        <w:t xml:space="preserve">Section S20—3 (table entries for </w:t>
      </w:r>
      <w:proofErr w:type="spellStart"/>
      <w:r w:rsidRPr="005D30DA">
        <w:t>Agvet</w:t>
      </w:r>
      <w:proofErr w:type="spellEnd"/>
      <w:r w:rsidRPr="005D30DA">
        <w:t xml:space="preserve"> chemicals: </w:t>
      </w:r>
      <w:proofErr w:type="spellStart"/>
      <w:r w:rsidRPr="005D30DA">
        <w:t>Maldison</w:t>
      </w:r>
      <w:proofErr w:type="spellEnd"/>
      <w:r w:rsidRPr="005D30DA">
        <w:t xml:space="preserve"> and Trichlorfon)</w:t>
      </w:r>
    </w:p>
    <w:p w14:paraId="65E51ACD" w14:textId="77777777" w:rsidR="005D30DA" w:rsidRPr="005D30DA" w:rsidRDefault="005D30DA" w:rsidP="00C14A61">
      <w:pPr>
        <w:pStyle w:val="FSCDraftingitem"/>
      </w:pPr>
      <w:r w:rsidRPr="005D30DA">
        <w:tab/>
      </w:r>
      <w:r w:rsidRPr="005D30DA">
        <w:rPr>
          <w:shd w:val="clear" w:color="auto" w:fill="FFFFFF"/>
        </w:rPr>
        <w:t>Omit</w:t>
      </w:r>
      <w:r w:rsidRPr="005D30DA">
        <w:t>:</w:t>
      </w:r>
    </w:p>
    <w:p w14:paraId="21422223" w14:textId="77777777" w:rsidR="005D30DA" w:rsidRPr="005D30DA" w:rsidRDefault="005D30DA" w:rsidP="006F71F9">
      <w:pPr>
        <w:pStyle w:val="FSCtblMRL1"/>
      </w:pPr>
      <w:r w:rsidRPr="005D30DA">
        <w:t>(except jujube, Chinese)</w:t>
      </w:r>
    </w:p>
    <w:p w14:paraId="01244F44" w14:textId="77777777" w:rsidR="005D30DA" w:rsidRPr="005D30DA" w:rsidRDefault="005D30DA" w:rsidP="00C14A61">
      <w:pPr>
        <w:pStyle w:val="FSCDraftingitem"/>
      </w:pPr>
      <w:r w:rsidRPr="005D30DA">
        <w:tab/>
      </w:r>
      <w:r w:rsidRPr="005D30DA">
        <w:rPr>
          <w:shd w:val="clear" w:color="auto" w:fill="FFFFFF"/>
        </w:rPr>
        <w:t>substitute</w:t>
      </w:r>
      <w:r w:rsidRPr="005D30DA">
        <w:t>:</w:t>
      </w:r>
    </w:p>
    <w:p w14:paraId="6901A02B" w14:textId="77777777" w:rsidR="005D30DA" w:rsidRPr="005D30DA" w:rsidRDefault="005D30DA" w:rsidP="006F71F9">
      <w:pPr>
        <w:pStyle w:val="FSCtblMRL1"/>
      </w:pPr>
      <w:r w:rsidRPr="005D30DA">
        <w:t>[</w:t>
      </w:r>
      <w:r w:rsidRPr="005D30DA">
        <w:rPr>
          <w:sz w:val="20"/>
        </w:rPr>
        <w:t>except</w:t>
      </w:r>
      <w:r w:rsidRPr="005D30DA">
        <w:t xml:space="preserve"> jujube, Chinese]</w:t>
      </w:r>
    </w:p>
    <w:p w14:paraId="7E6A81DD" w14:textId="77777777" w:rsidR="005D30DA" w:rsidRPr="005D30DA" w:rsidRDefault="005D30DA" w:rsidP="006F71F9">
      <w:pPr>
        <w:pStyle w:val="FSCtblMRL1"/>
        <w:rPr>
          <w:b/>
          <w:sz w:val="20"/>
        </w:rPr>
      </w:pPr>
    </w:p>
    <w:p w14:paraId="5704E455" w14:textId="77777777" w:rsidR="005D30DA" w:rsidRPr="005D30DA" w:rsidRDefault="005D30DA" w:rsidP="00D91E75">
      <w:pPr>
        <w:pStyle w:val="FSCDraftingitemheading"/>
      </w:pPr>
      <w:r w:rsidRPr="005D30DA">
        <w:t>[48]</w:t>
      </w:r>
      <w:r w:rsidRPr="005D30DA">
        <w:tab/>
      </w:r>
      <w:bookmarkStart w:id="99" w:name="_Hlk118367033"/>
      <w:r w:rsidRPr="005D30DA">
        <w:t xml:space="preserve">Section S20—3 (table entry for </w:t>
      </w:r>
      <w:proofErr w:type="spellStart"/>
      <w:r w:rsidRPr="005D30DA">
        <w:t>Agvet</w:t>
      </w:r>
      <w:proofErr w:type="spellEnd"/>
      <w:r w:rsidRPr="005D30DA">
        <w:t xml:space="preserve"> chemical: </w:t>
      </w:r>
      <w:bookmarkEnd w:id="99"/>
      <w:proofErr w:type="spellStart"/>
      <w:r w:rsidRPr="005D30DA">
        <w:t>Niclosamide</w:t>
      </w:r>
      <w:proofErr w:type="spellEnd"/>
      <w:r w:rsidRPr="005D30DA">
        <w:t>)</w:t>
      </w:r>
      <w:bookmarkEnd w:id="98"/>
    </w:p>
    <w:p w14:paraId="71B88431" w14:textId="77777777" w:rsidR="005D30DA" w:rsidRPr="005D30DA" w:rsidRDefault="005D30DA" w:rsidP="00C14A61">
      <w:pPr>
        <w:pStyle w:val="FSCDraftingitem"/>
      </w:pPr>
      <w:r w:rsidRPr="005D30DA">
        <w:tab/>
      </w:r>
      <w:r w:rsidRPr="005D30DA">
        <w:rPr>
          <w:shd w:val="clear" w:color="auto" w:fill="FFFFFF"/>
        </w:rPr>
        <w:t>Omit</w:t>
      </w:r>
      <w:r w:rsidRPr="005D30DA">
        <w:t>:</w:t>
      </w:r>
    </w:p>
    <w:p w14:paraId="4EB43A8B" w14:textId="77777777" w:rsidR="005D30DA" w:rsidRPr="005D30DA" w:rsidRDefault="005D30DA" w:rsidP="006F71F9">
      <w:pPr>
        <w:pStyle w:val="FSCtblMRL1"/>
      </w:pPr>
      <w:r w:rsidRPr="005D30DA">
        <w:rPr>
          <w:bCs/>
          <w:sz w:val="20"/>
        </w:rPr>
        <w:t>eat</w:t>
      </w:r>
      <w:r w:rsidRPr="005D30DA">
        <w:rPr>
          <w:bCs/>
        </w:rPr>
        <w:t xml:space="preserve"> </w:t>
      </w:r>
      <w:r w:rsidRPr="005D30DA">
        <w:t>(mammalian)</w:t>
      </w:r>
    </w:p>
    <w:p w14:paraId="7336D251" w14:textId="77777777" w:rsidR="005D30DA" w:rsidRPr="005D30DA" w:rsidRDefault="005D30DA" w:rsidP="00C14A61">
      <w:pPr>
        <w:pStyle w:val="FSCDraftingitem"/>
      </w:pPr>
      <w:r w:rsidRPr="005D30DA">
        <w:tab/>
      </w:r>
      <w:r w:rsidRPr="005D30DA">
        <w:rPr>
          <w:shd w:val="clear" w:color="auto" w:fill="FFFFFF"/>
        </w:rPr>
        <w:t>substitute</w:t>
      </w:r>
      <w:r w:rsidRPr="005D30DA">
        <w:t>:</w:t>
      </w:r>
    </w:p>
    <w:p w14:paraId="192F55E1" w14:textId="77777777" w:rsidR="005D30DA" w:rsidRPr="005D30DA" w:rsidRDefault="005D30DA" w:rsidP="001173FB">
      <w:pPr>
        <w:pStyle w:val="FSCtblMRL1"/>
      </w:pPr>
      <w:r w:rsidRPr="001173FB">
        <w:t>Meat</w:t>
      </w:r>
      <w:r w:rsidRPr="005D30DA">
        <w:t xml:space="preserve"> (mammalian)</w:t>
      </w:r>
    </w:p>
    <w:p w14:paraId="47FE544E" w14:textId="77777777" w:rsidR="005D30DA" w:rsidRPr="005D30DA" w:rsidRDefault="005D30DA" w:rsidP="005D30DA">
      <w:pPr>
        <w:keepLines/>
        <w:widowControl/>
        <w:spacing w:before="20" w:after="20"/>
        <w:rPr>
          <w:rFonts w:cs="Arial"/>
          <w:sz w:val="18"/>
          <w:szCs w:val="20"/>
          <w:shd w:val="clear" w:color="auto" w:fill="FFFFFF"/>
          <w:lang w:eastAsia="en-AU" w:bidi="ar-SA"/>
        </w:rPr>
      </w:pPr>
    </w:p>
    <w:p w14:paraId="02F51DB0" w14:textId="77777777" w:rsidR="005D30DA" w:rsidRPr="005D30DA" w:rsidRDefault="005D30DA" w:rsidP="00D91E75">
      <w:pPr>
        <w:pStyle w:val="FSCDraftingitemheading"/>
      </w:pPr>
      <w:r w:rsidRPr="005D30DA">
        <w:t>[49]</w:t>
      </w:r>
      <w:r w:rsidRPr="005D30DA">
        <w:tab/>
        <w:t xml:space="preserve">Section S20—3 (table entry for </w:t>
      </w:r>
      <w:proofErr w:type="spellStart"/>
      <w:r w:rsidRPr="005D30DA">
        <w:t>Agvet</w:t>
      </w:r>
      <w:proofErr w:type="spellEnd"/>
      <w:r w:rsidRPr="005D30DA">
        <w:t xml:space="preserve"> chemical: Phosphorous acid)</w:t>
      </w:r>
    </w:p>
    <w:p w14:paraId="1080AB41" w14:textId="77777777" w:rsidR="005D30DA" w:rsidRPr="005D30DA" w:rsidRDefault="005D30DA" w:rsidP="00C14A61">
      <w:pPr>
        <w:pStyle w:val="FSCDraftingitem"/>
      </w:pPr>
      <w:r w:rsidRPr="005D30DA">
        <w:tab/>
      </w:r>
      <w:r w:rsidRPr="005D30DA">
        <w:rPr>
          <w:shd w:val="clear" w:color="auto" w:fill="FFFFFF"/>
        </w:rPr>
        <w:t>Omit</w:t>
      </w:r>
      <w:r w:rsidRPr="005D30DA">
        <w:t>:</w:t>
      </w:r>
    </w:p>
    <w:p w14:paraId="33368694" w14:textId="77777777" w:rsidR="005D30DA" w:rsidRPr="005D30DA" w:rsidRDefault="005D30DA" w:rsidP="001173FB">
      <w:pPr>
        <w:pStyle w:val="FSCtblMRL1"/>
      </w:pPr>
      <w:r w:rsidRPr="001173FB">
        <w:rPr>
          <w:bCs/>
          <w:szCs w:val="18"/>
        </w:rPr>
        <w:t>Root</w:t>
      </w:r>
      <w:r w:rsidRPr="005D30DA">
        <w:t xml:space="preserve"> and tuber vegetables (except potato)</w:t>
      </w:r>
    </w:p>
    <w:p w14:paraId="4DD59B74" w14:textId="77777777" w:rsidR="005D30DA" w:rsidRPr="005D30DA" w:rsidRDefault="005D30DA" w:rsidP="00C14A61">
      <w:pPr>
        <w:pStyle w:val="FSCDraftingitem"/>
      </w:pPr>
      <w:r w:rsidRPr="005D30DA">
        <w:tab/>
      </w:r>
      <w:r w:rsidRPr="005D30DA">
        <w:rPr>
          <w:shd w:val="clear" w:color="auto" w:fill="FFFFFF"/>
        </w:rPr>
        <w:t>substitute</w:t>
      </w:r>
      <w:r w:rsidRPr="005D30DA">
        <w:t>:</w:t>
      </w:r>
    </w:p>
    <w:p w14:paraId="16B99A1E" w14:textId="77777777" w:rsidR="005D30DA" w:rsidRPr="005D30DA" w:rsidRDefault="005D30DA" w:rsidP="00727310">
      <w:pPr>
        <w:pStyle w:val="FSCtblMRL1"/>
      </w:pPr>
      <w:r w:rsidRPr="005D30DA">
        <w:t>Root and tuber vegetables [except potato]</w:t>
      </w:r>
    </w:p>
    <w:p w14:paraId="695A36BB" w14:textId="77777777" w:rsidR="005D30DA" w:rsidRPr="005D30DA" w:rsidRDefault="005D30DA" w:rsidP="006005E0">
      <w:pPr>
        <w:pStyle w:val="FSCtblMRL1"/>
        <w:rPr>
          <w:b/>
          <w:sz w:val="20"/>
        </w:rPr>
      </w:pPr>
    </w:p>
    <w:p w14:paraId="44F288DD" w14:textId="77777777" w:rsidR="005D30DA" w:rsidRPr="005D30DA" w:rsidRDefault="005D30DA" w:rsidP="00D91E75">
      <w:pPr>
        <w:pStyle w:val="FSCDraftingitemheading"/>
      </w:pPr>
      <w:bookmarkStart w:id="100" w:name="_Hlk118369346"/>
      <w:r w:rsidRPr="005D30DA">
        <w:t>[50]</w:t>
      </w:r>
      <w:r w:rsidRPr="005D30DA">
        <w:tab/>
        <w:t xml:space="preserve">Section S20—3 (table entry for </w:t>
      </w:r>
      <w:proofErr w:type="spellStart"/>
      <w:r w:rsidRPr="005D30DA">
        <w:t>Agvet</w:t>
      </w:r>
      <w:proofErr w:type="spellEnd"/>
      <w:r w:rsidRPr="005D30DA">
        <w:t xml:space="preserve"> chemical: Propyzamide)</w:t>
      </w:r>
    </w:p>
    <w:p w14:paraId="27795377" w14:textId="77777777" w:rsidR="005D30DA" w:rsidRPr="005D30DA" w:rsidRDefault="005D30DA" w:rsidP="00C14A61">
      <w:pPr>
        <w:pStyle w:val="FSCDraftingitem"/>
      </w:pPr>
      <w:r w:rsidRPr="005D30DA">
        <w:tab/>
      </w:r>
      <w:r w:rsidRPr="005D30DA">
        <w:rPr>
          <w:shd w:val="clear" w:color="auto" w:fill="FFFFFF"/>
        </w:rPr>
        <w:t>Insert</w:t>
      </w:r>
      <w:r w:rsidRPr="005D30DA">
        <w:t>:</w:t>
      </w:r>
    </w:p>
    <w:tbl>
      <w:tblPr>
        <w:tblW w:w="4425" w:type="dxa"/>
        <w:shd w:val="clear" w:color="auto" w:fill="FFFFFF"/>
        <w:tblCellMar>
          <w:left w:w="0" w:type="dxa"/>
          <w:right w:w="0" w:type="dxa"/>
        </w:tblCellMar>
        <w:tblLook w:val="04A0" w:firstRow="1" w:lastRow="0" w:firstColumn="1" w:lastColumn="0" w:noHBand="0" w:noVBand="1"/>
      </w:tblPr>
      <w:tblGrid>
        <w:gridCol w:w="3404"/>
        <w:gridCol w:w="1021"/>
      </w:tblGrid>
      <w:tr w:rsidR="005D30DA" w:rsidRPr="005D30DA" w14:paraId="7BA429F4" w14:textId="77777777" w:rsidTr="004D1CBE">
        <w:tc>
          <w:tcPr>
            <w:tcW w:w="3402" w:type="dxa"/>
            <w:shd w:val="clear" w:color="auto" w:fill="FFFFFF"/>
            <w:tcMar>
              <w:top w:w="0" w:type="dxa"/>
              <w:left w:w="108" w:type="dxa"/>
              <w:bottom w:w="0" w:type="dxa"/>
              <w:right w:w="108" w:type="dxa"/>
            </w:tcMar>
            <w:hideMark/>
          </w:tcPr>
          <w:p w14:paraId="7483B326" w14:textId="77777777" w:rsidR="005D30DA" w:rsidRPr="005D30DA" w:rsidRDefault="005D30DA" w:rsidP="001173FB">
            <w:pPr>
              <w:pStyle w:val="FSCtblMRL1"/>
              <w:rPr>
                <w:lang w:val="en-AU"/>
              </w:rPr>
            </w:pPr>
            <w:r w:rsidRPr="001173FB">
              <w:t>Pulses</w:t>
            </w:r>
          </w:p>
        </w:tc>
        <w:tc>
          <w:tcPr>
            <w:tcW w:w="1020" w:type="dxa"/>
            <w:shd w:val="clear" w:color="auto" w:fill="FFFFFF"/>
            <w:tcMar>
              <w:top w:w="0" w:type="dxa"/>
              <w:left w:w="108" w:type="dxa"/>
              <w:bottom w:w="0" w:type="dxa"/>
              <w:right w:w="108" w:type="dxa"/>
            </w:tcMar>
            <w:hideMark/>
          </w:tcPr>
          <w:p w14:paraId="7B7CBE79" w14:textId="77777777" w:rsidR="005D30DA" w:rsidRPr="005D30DA" w:rsidRDefault="005D30DA" w:rsidP="00F67528">
            <w:pPr>
              <w:pStyle w:val="FSCtblMRL2"/>
              <w:rPr>
                <w:lang w:val="en-AU" w:eastAsia="en-AU"/>
              </w:rPr>
            </w:pPr>
            <w:r w:rsidRPr="005D30DA">
              <w:rPr>
                <w:lang w:val="en-AU" w:eastAsia="en-AU"/>
              </w:rPr>
              <w:t>*0.01</w:t>
            </w:r>
          </w:p>
        </w:tc>
      </w:tr>
      <w:bookmarkEnd w:id="100"/>
    </w:tbl>
    <w:p w14:paraId="35922763" w14:textId="77777777" w:rsidR="005D30DA" w:rsidRPr="005D30DA" w:rsidRDefault="005D30DA" w:rsidP="005D30DA">
      <w:pPr>
        <w:spacing w:before="120" w:after="120"/>
        <w:ind w:left="851" w:hanging="851"/>
        <w:rPr>
          <w:b/>
          <w:sz w:val="20"/>
          <w:szCs w:val="20"/>
          <w:lang w:bidi="ar-SA"/>
        </w:rPr>
      </w:pPr>
    </w:p>
    <w:p w14:paraId="42FDDB07" w14:textId="04CE9092" w:rsidR="005D30DA" w:rsidRPr="005D30DA" w:rsidRDefault="005D30DA" w:rsidP="00D91E75">
      <w:pPr>
        <w:pStyle w:val="FSCDraftingitemheading"/>
      </w:pPr>
      <w:r w:rsidRPr="005D30DA">
        <w:t>[51]</w:t>
      </w:r>
      <w:r w:rsidRPr="005D30DA">
        <w:tab/>
        <w:t xml:space="preserve">Section S20—3 (table entry for </w:t>
      </w:r>
      <w:proofErr w:type="spellStart"/>
      <w:r w:rsidRPr="005D30DA">
        <w:t>Agvet</w:t>
      </w:r>
      <w:proofErr w:type="spellEnd"/>
      <w:r w:rsidRPr="005D30DA">
        <w:t xml:space="preserve"> chemical: </w:t>
      </w:r>
      <w:proofErr w:type="spellStart"/>
      <w:r w:rsidRPr="005D30DA">
        <w:t>Prosulfocarb</w:t>
      </w:r>
      <w:proofErr w:type="spellEnd"/>
      <w:r w:rsidRPr="005D30DA">
        <w:t>)</w:t>
      </w:r>
    </w:p>
    <w:p w14:paraId="1FC8821F" w14:textId="77777777" w:rsidR="005D30DA" w:rsidRPr="005D30DA" w:rsidRDefault="005D30DA" w:rsidP="00C14A61">
      <w:pPr>
        <w:pStyle w:val="FSCDraftingitem"/>
      </w:pPr>
      <w:r w:rsidRPr="005D30DA">
        <w:tab/>
      </w:r>
      <w:r w:rsidRPr="005D30DA">
        <w:rPr>
          <w:shd w:val="clear" w:color="auto" w:fill="FFFFFF"/>
        </w:rPr>
        <w:t>Insert</w:t>
      </w:r>
      <w:r w:rsidRPr="005D30DA">
        <w:t>:</w:t>
      </w:r>
    </w:p>
    <w:tbl>
      <w:tblPr>
        <w:tblW w:w="4425" w:type="dxa"/>
        <w:shd w:val="clear" w:color="auto" w:fill="FFFFFF"/>
        <w:tblCellMar>
          <w:left w:w="0" w:type="dxa"/>
          <w:right w:w="0" w:type="dxa"/>
        </w:tblCellMar>
        <w:tblLook w:val="04A0" w:firstRow="1" w:lastRow="0" w:firstColumn="1" w:lastColumn="0" w:noHBand="0" w:noVBand="1"/>
      </w:tblPr>
      <w:tblGrid>
        <w:gridCol w:w="3404"/>
        <w:gridCol w:w="1021"/>
      </w:tblGrid>
      <w:tr w:rsidR="005D30DA" w:rsidRPr="005D30DA" w14:paraId="193F58FD" w14:textId="77777777" w:rsidTr="006E65CC">
        <w:tc>
          <w:tcPr>
            <w:tcW w:w="3404" w:type="dxa"/>
            <w:shd w:val="clear" w:color="auto" w:fill="FFFFFF"/>
            <w:tcMar>
              <w:top w:w="0" w:type="dxa"/>
              <w:left w:w="108" w:type="dxa"/>
              <w:bottom w:w="0" w:type="dxa"/>
              <w:right w:w="108" w:type="dxa"/>
            </w:tcMar>
            <w:hideMark/>
          </w:tcPr>
          <w:p w14:paraId="6A34AC49" w14:textId="77777777" w:rsidR="005D30DA" w:rsidRPr="005D30DA" w:rsidRDefault="005D30DA" w:rsidP="00D4166B">
            <w:pPr>
              <w:pStyle w:val="FSCtblMRL1"/>
              <w:ind w:left="-105"/>
              <w:rPr>
                <w:bCs/>
                <w:lang w:val="en-AU"/>
              </w:rPr>
            </w:pPr>
            <w:r w:rsidRPr="005D30DA">
              <w:rPr>
                <w:bCs/>
                <w:sz w:val="20"/>
              </w:rPr>
              <w:t>Pulses</w:t>
            </w:r>
          </w:p>
        </w:tc>
        <w:tc>
          <w:tcPr>
            <w:tcW w:w="1021" w:type="dxa"/>
            <w:shd w:val="clear" w:color="auto" w:fill="FFFFFF"/>
            <w:tcMar>
              <w:top w:w="0" w:type="dxa"/>
              <w:left w:w="108" w:type="dxa"/>
              <w:bottom w:w="0" w:type="dxa"/>
              <w:right w:w="108" w:type="dxa"/>
            </w:tcMar>
            <w:hideMark/>
          </w:tcPr>
          <w:p w14:paraId="01C2623C" w14:textId="77777777" w:rsidR="005D30DA" w:rsidRPr="005D30DA" w:rsidRDefault="005D30DA" w:rsidP="007E6F30">
            <w:pPr>
              <w:pStyle w:val="FSCtblMRL2"/>
              <w:rPr>
                <w:lang w:val="en-AU" w:eastAsia="en-AU"/>
              </w:rPr>
            </w:pPr>
            <w:r w:rsidRPr="005D30DA">
              <w:rPr>
                <w:lang w:val="en-AU" w:eastAsia="en-AU"/>
              </w:rPr>
              <w:t>*0.01</w:t>
            </w:r>
          </w:p>
        </w:tc>
      </w:tr>
    </w:tbl>
    <w:p w14:paraId="2E459670" w14:textId="77777777" w:rsidR="005D30DA" w:rsidRPr="005D30DA" w:rsidRDefault="005D30DA" w:rsidP="005D30DA">
      <w:pPr>
        <w:keepLines/>
        <w:widowControl/>
        <w:spacing w:before="20" w:after="20"/>
        <w:rPr>
          <w:rFonts w:cs="Arial"/>
          <w:sz w:val="18"/>
          <w:szCs w:val="20"/>
          <w:lang w:eastAsia="en-AU" w:bidi="ar-SA"/>
        </w:rPr>
      </w:pPr>
    </w:p>
    <w:p w14:paraId="7E130913" w14:textId="77777777" w:rsidR="00792925" w:rsidRDefault="00792925" w:rsidP="00D91E75">
      <w:pPr>
        <w:pStyle w:val="FSCDraftingitemheading"/>
      </w:pPr>
    </w:p>
    <w:p w14:paraId="09A5DA52" w14:textId="77777777" w:rsidR="00792925" w:rsidRDefault="00792925" w:rsidP="00D91E75">
      <w:pPr>
        <w:pStyle w:val="FSCDraftingitemheading"/>
      </w:pPr>
    </w:p>
    <w:p w14:paraId="3EA91DD4" w14:textId="3B5010EB" w:rsidR="005D30DA" w:rsidRPr="005D30DA" w:rsidRDefault="005D30DA" w:rsidP="00D91E75">
      <w:pPr>
        <w:pStyle w:val="FSCDraftingitemheading"/>
      </w:pPr>
      <w:r w:rsidRPr="005D30DA">
        <w:t>[52]</w:t>
      </w:r>
      <w:r w:rsidRPr="005D30DA">
        <w:tab/>
        <w:t xml:space="preserve">Section S20—3 (table entry for </w:t>
      </w:r>
      <w:proofErr w:type="spellStart"/>
      <w:r w:rsidRPr="005D30DA">
        <w:t>Agvet</w:t>
      </w:r>
      <w:proofErr w:type="spellEnd"/>
      <w:r w:rsidRPr="005D30DA">
        <w:t xml:space="preserve"> chemical: </w:t>
      </w:r>
      <w:proofErr w:type="spellStart"/>
      <w:r w:rsidRPr="005D30DA">
        <w:t>Prothioconazole</w:t>
      </w:r>
      <w:proofErr w:type="spellEnd"/>
      <w:r w:rsidRPr="005D30DA">
        <w:t>)</w:t>
      </w:r>
    </w:p>
    <w:p w14:paraId="78EA315E" w14:textId="77777777" w:rsidR="005D30DA" w:rsidRPr="005D30DA" w:rsidRDefault="005D30DA" w:rsidP="00C14A61">
      <w:pPr>
        <w:pStyle w:val="FSCDraftingitem"/>
      </w:pPr>
      <w:r w:rsidRPr="005D30DA">
        <w:tab/>
      </w:r>
      <w:r w:rsidRPr="005D30DA">
        <w:rPr>
          <w:shd w:val="clear" w:color="auto" w:fill="FFFFFF"/>
        </w:rPr>
        <w:t>Insert</w:t>
      </w:r>
      <w:r w:rsidRPr="005D30DA">
        <w:t>:</w:t>
      </w:r>
    </w:p>
    <w:tbl>
      <w:tblPr>
        <w:tblW w:w="4425" w:type="dxa"/>
        <w:shd w:val="clear" w:color="auto" w:fill="FFFFFF"/>
        <w:tblCellMar>
          <w:left w:w="0" w:type="dxa"/>
          <w:right w:w="0" w:type="dxa"/>
        </w:tblCellMar>
        <w:tblLook w:val="04A0" w:firstRow="1" w:lastRow="0" w:firstColumn="1" w:lastColumn="0" w:noHBand="0" w:noVBand="1"/>
      </w:tblPr>
      <w:tblGrid>
        <w:gridCol w:w="3404"/>
        <w:gridCol w:w="1021"/>
      </w:tblGrid>
      <w:tr w:rsidR="005D30DA" w:rsidRPr="005D30DA" w14:paraId="6242C47F" w14:textId="77777777" w:rsidTr="004D1CBE">
        <w:tc>
          <w:tcPr>
            <w:tcW w:w="3402" w:type="dxa"/>
            <w:shd w:val="clear" w:color="auto" w:fill="FFFFFF"/>
            <w:tcMar>
              <w:top w:w="0" w:type="dxa"/>
              <w:left w:w="108" w:type="dxa"/>
              <w:bottom w:w="0" w:type="dxa"/>
              <w:right w:w="108" w:type="dxa"/>
            </w:tcMar>
            <w:hideMark/>
          </w:tcPr>
          <w:p w14:paraId="4B74DDCE" w14:textId="77777777" w:rsidR="005D30DA" w:rsidRPr="005D30DA" w:rsidRDefault="005D30DA" w:rsidP="006809C6">
            <w:pPr>
              <w:pStyle w:val="FSCtblMRL1"/>
              <w:rPr>
                <w:lang w:val="en-AU"/>
              </w:rPr>
            </w:pPr>
            <w:r w:rsidRPr="006809C6">
              <w:t>Pulses</w:t>
            </w:r>
          </w:p>
        </w:tc>
        <w:tc>
          <w:tcPr>
            <w:tcW w:w="1020" w:type="dxa"/>
            <w:shd w:val="clear" w:color="auto" w:fill="FFFFFF"/>
            <w:tcMar>
              <w:top w:w="0" w:type="dxa"/>
              <w:left w:w="108" w:type="dxa"/>
              <w:bottom w:w="0" w:type="dxa"/>
              <w:right w:w="108" w:type="dxa"/>
            </w:tcMar>
            <w:hideMark/>
          </w:tcPr>
          <w:p w14:paraId="5D6E0F03" w14:textId="77777777" w:rsidR="005D30DA" w:rsidRPr="005D30DA" w:rsidRDefault="005D30DA" w:rsidP="007E6F30">
            <w:pPr>
              <w:pStyle w:val="FSCtblMRL2"/>
              <w:rPr>
                <w:lang w:val="en-AU" w:eastAsia="en-AU"/>
              </w:rPr>
            </w:pPr>
            <w:r w:rsidRPr="005D30DA">
              <w:rPr>
                <w:lang w:val="en-AU" w:eastAsia="en-AU"/>
              </w:rPr>
              <w:t>T0.7</w:t>
            </w:r>
          </w:p>
        </w:tc>
      </w:tr>
    </w:tbl>
    <w:p w14:paraId="3679373F" w14:textId="77777777" w:rsidR="005D30DA" w:rsidRPr="005D30DA" w:rsidRDefault="005D30DA" w:rsidP="00AF5AC0">
      <w:pPr>
        <w:pStyle w:val="FSCtblMRL1"/>
        <w:ind w:left="-105"/>
        <w:rPr>
          <w:b/>
          <w:color w:val="FF0000"/>
        </w:rPr>
      </w:pPr>
    </w:p>
    <w:p w14:paraId="63493012" w14:textId="77777777" w:rsidR="005D30DA" w:rsidRPr="005D30DA" w:rsidRDefault="005D30DA" w:rsidP="00965633">
      <w:pPr>
        <w:pStyle w:val="FSCDraftingitemheading"/>
      </w:pPr>
      <w:bookmarkStart w:id="101" w:name="_Hlk118369569"/>
      <w:r w:rsidRPr="005D30DA">
        <w:t>[53]</w:t>
      </w:r>
      <w:r w:rsidRPr="005D30DA">
        <w:tab/>
        <w:t xml:space="preserve">Section S20—3 (table entry for </w:t>
      </w:r>
      <w:proofErr w:type="spellStart"/>
      <w:r w:rsidRPr="005D30DA">
        <w:t>Agvet</w:t>
      </w:r>
      <w:proofErr w:type="spellEnd"/>
      <w:r w:rsidRPr="005D30DA">
        <w:t xml:space="preserve"> chemical: </w:t>
      </w:r>
      <w:proofErr w:type="spellStart"/>
      <w:r w:rsidRPr="005D30DA">
        <w:t>Pydiflumetofen</w:t>
      </w:r>
      <w:proofErr w:type="spellEnd"/>
      <w:r w:rsidRPr="005D30DA">
        <w:t>)</w:t>
      </w:r>
    </w:p>
    <w:p w14:paraId="09C6079F" w14:textId="77777777" w:rsidR="005D30DA" w:rsidRPr="005D30DA" w:rsidRDefault="005D30DA" w:rsidP="005672E6">
      <w:pPr>
        <w:pStyle w:val="FSCDraftingitem"/>
      </w:pPr>
      <w:r w:rsidRPr="005D30DA">
        <w:t>[53.1]</w:t>
      </w:r>
      <w:r w:rsidRPr="005D30DA">
        <w:tab/>
      </w:r>
      <w:r w:rsidRPr="005D30DA">
        <w:rPr>
          <w:shd w:val="clear" w:color="auto" w:fill="FFFFFF"/>
        </w:rPr>
        <w:t>Omit</w:t>
      </w:r>
      <w:r w:rsidRPr="005D30DA">
        <w:t>:</w:t>
      </w:r>
    </w:p>
    <w:p w14:paraId="0D1F1384" w14:textId="77777777" w:rsidR="005D30DA" w:rsidRPr="005D30DA" w:rsidRDefault="005D30DA" w:rsidP="00C92763">
      <w:pPr>
        <w:pStyle w:val="FSCtblMRL1"/>
      </w:pPr>
      <w:r w:rsidRPr="00C92763">
        <w:t>Leafy</w:t>
      </w:r>
      <w:r w:rsidRPr="005D30DA">
        <w:t xml:space="preserve"> </w:t>
      </w:r>
      <w:r w:rsidRPr="00C92763">
        <w:t>vegetables</w:t>
      </w:r>
      <w:r w:rsidRPr="005D30DA">
        <w:t xml:space="preserve"> (except brassica leafy vegetables) [except witloof chicory]</w:t>
      </w:r>
    </w:p>
    <w:p w14:paraId="7C3C5DA1" w14:textId="77777777" w:rsidR="005D30DA" w:rsidRPr="005D30DA" w:rsidRDefault="005D30DA" w:rsidP="005D30DA">
      <w:pPr>
        <w:widowControl/>
        <w:tabs>
          <w:tab w:val="left" w:pos="851"/>
        </w:tabs>
        <w:spacing w:before="120" w:after="120"/>
        <w:rPr>
          <w:sz w:val="20"/>
          <w:szCs w:val="20"/>
          <w:lang w:bidi="ar-SA"/>
        </w:rPr>
      </w:pPr>
      <w:r w:rsidRPr="005D30DA">
        <w:rPr>
          <w:sz w:val="20"/>
          <w:szCs w:val="20"/>
          <w:lang w:bidi="ar-SA"/>
        </w:rPr>
        <w:tab/>
      </w:r>
      <w:r w:rsidRPr="005D30DA">
        <w:rPr>
          <w:sz w:val="20"/>
          <w:szCs w:val="20"/>
          <w:shd w:val="clear" w:color="auto" w:fill="FFFFFF"/>
          <w:lang w:bidi="ar-SA"/>
        </w:rPr>
        <w:t>substitute</w:t>
      </w:r>
      <w:r w:rsidRPr="005D30DA">
        <w:rPr>
          <w:sz w:val="20"/>
          <w:szCs w:val="20"/>
          <w:lang w:bidi="ar-SA"/>
        </w:rPr>
        <w:t>:</w:t>
      </w:r>
    </w:p>
    <w:p w14:paraId="32E0EFE9" w14:textId="77777777" w:rsidR="005D30DA" w:rsidRPr="005D30DA" w:rsidRDefault="005D30DA" w:rsidP="00C92763">
      <w:pPr>
        <w:pStyle w:val="FSCtblMRL1"/>
      </w:pPr>
      <w:r w:rsidRPr="00C92763">
        <w:t>Leafy</w:t>
      </w:r>
      <w:r w:rsidRPr="005D30DA">
        <w:t xml:space="preserve"> vegetables [except brassica leafy vegetables; witloof chicory]</w:t>
      </w:r>
    </w:p>
    <w:p w14:paraId="7A609263" w14:textId="77777777" w:rsidR="005D30DA" w:rsidRPr="005D30DA" w:rsidRDefault="005D30DA" w:rsidP="005D30DA">
      <w:pPr>
        <w:spacing w:before="120" w:after="120"/>
        <w:ind w:left="851" w:hanging="851"/>
        <w:rPr>
          <w:b/>
          <w:sz w:val="20"/>
          <w:szCs w:val="20"/>
          <w:lang w:bidi="ar-SA"/>
        </w:rPr>
      </w:pPr>
    </w:p>
    <w:p w14:paraId="65DCCA83" w14:textId="77777777" w:rsidR="005D30DA" w:rsidRPr="005D30DA" w:rsidRDefault="005D30DA" w:rsidP="005672E6">
      <w:pPr>
        <w:pStyle w:val="FSCDraftingitem"/>
      </w:pPr>
      <w:r w:rsidRPr="005D30DA">
        <w:t>[53.2]</w:t>
      </w:r>
      <w:r w:rsidRPr="005D30DA">
        <w:tab/>
      </w:r>
      <w:r w:rsidRPr="005D30DA">
        <w:rPr>
          <w:shd w:val="clear" w:color="auto" w:fill="FFFFFF"/>
        </w:rPr>
        <w:t>Omit</w:t>
      </w:r>
      <w:r w:rsidRPr="005D30DA">
        <w:t xml:space="preserve"> the following food commodities and their associated MRLs: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05"/>
      </w:tblGrid>
      <w:tr w:rsidR="005D30DA" w:rsidRPr="005D30DA" w14:paraId="4D767D9F" w14:textId="77777777" w:rsidTr="006E65CC">
        <w:tc>
          <w:tcPr>
            <w:tcW w:w="3969" w:type="dxa"/>
          </w:tcPr>
          <w:p w14:paraId="6251E8D1" w14:textId="77777777" w:rsidR="005D30DA" w:rsidRPr="005D30DA" w:rsidRDefault="005D30DA" w:rsidP="00C92763">
            <w:pPr>
              <w:pStyle w:val="FSCtblMRL1"/>
            </w:pPr>
            <w:r w:rsidRPr="00C92763">
              <w:t>Aquatic</w:t>
            </w:r>
            <w:r w:rsidRPr="005D30DA">
              <w:t xml:space="preserve"> root and tuber vegetable</w:t>
            </w:r>
          </w:p>
        </w:tc>
        <w:tc>
          <w:tcPr>
            <w:tcW w:w="4505" w:type="dxa"/>
          </w:tcPr>
          <w:p w14:paraId="7B5D82F9" w14:textId="77777777" w:rsidR="005D30DA" w:rsidRPr="006E65CC" w:rsidRDefault="005D30DA" w:rsidP="006E65CC">
            <w:pPr>
              <w:pStyle w:val="FSCtblMRL2"/>
              <w:ind w:right="3470"/>
              <w:jc w:val="left"/>
              <w:rPr>
                <w:lang w:val="en-AU" w:eastAsia="en-AU"/>
              </w:rPr>
            </w:pPr>
            <w:r w:rsidRPr="006E65CC">
              <w:rPr>
                <w:lang w:val="en-AU" w:eastAsia="en-AU"/>
              </w:rPr>
              <w:t>T0.05</w:t>
            </w:r>
          </w:p>
        </w:tc>
      </w:tr>
      <w:tr w:rsidR="005D30DA" w:rsidRPr="005D30DA" w14:paraId="5B84DF82" w14:textId="77777777" w:rsidTr="006E65CC">
        <w:tc>
          <w:tcPr>
            <w:tcW w:w="3969" w:type="dxa"/>
          </w:tcPr>
          <w:p w14:paraId="55BE1DA5" w14:textId="77777777" w:rsidR="005D30DA" w:rsidRPr="005D30DA" w:rsidRDefault="005D30DA" w:rsidP="00C92763">
            <w:pPr>
              <w:pStyle w:val="FSCtblMRL1"/>
            </w:pPr>
            <w:r w:rsidRPr="00C92763">
              <w:t>Root</w:t>
            </w:r>
            <w:r w:rsidRPr="005D30DA">
              <w:t xml:space="preserve"> vegetables</w:t>
            </w:r>
          </w:p>
        </w:tc>
        <w:tc>
          <w:tcPr>
            <w:tcW w:w="4505" w:type="dxa"/>
          </w:tcPr>
          <w:p w14:paraId="79841775" w14:textId="77777777" w:rsidR="005D30DA" w:rsidRPr="006E65CC" w:rsidRDefault="005D30DA" w:rsidP="006E65CC">
            <w:pPr>
              <w:pStyle w:val="FSCtblMRL2"/>
              <w:ind w:right="3470"/>
              <w:jc w:val="left"/>
              <w:rPr>
                <w:lang w:val="en-AU" w:eastAsia="en-AU"/>
              </w:rPr>
            </w:pPr>
            <w:r w:rsidRPr="006E65CC">
              <w:rPr>
                <w:lang w:val="en-AU" w:eastAsia="en-AU"/>
              </w:rPr>
              <w:t>0.1</w:t>
            </w:r>
          </w:p>
        </w:tc>
      </w:tr>
      <w:tr w:rsidR="005D30DA" w:rsidRPr="005D30DA" w14:paraId="516EF4AC" w14:textId="77777777" w:rsidTr="006E65CC">
        <w:tc>
          <w:tcPr>
            <w:tcW w:w="3969" w:type="dxa"/>
          </w:tcPr>
          <w:p w14:paraId="137F6FBF" w14:textId="77777777" w:rsidR="005D30DA" w:rsidRPr="005D30DA" w:rsidRDefault="005D30DA" w:rsidP="00C92763">
            <w:pPr>
              <w:pStyle w:val="FSCtblMRL1"/>
            </w:pPr>
            <w:r w:rsidRPr="00C92763">
              <w:t>Tuberous</w:t>
            </w:r>
            <w:r w:rsidRPr="005D30DA">
              <w:t xml:space="preserve"> and corm vegetables</w:t>
            </w:r>
          </w:p>
        </w:tc>
        <w:tc>
          <w:tcPr>
            <w:tcW w:w="4505" w:type="dxa"/>
          </w:tcPr>
          <w:p w14:paraId="1AEEACFC" w14:textId="77777777" w:rsidR="005D30DA" w:rsidRPr="006E65CC" w:rsidRDefault="005D30DA" w:rsidP="006E65CC">
            <w:pPr>
              <w:pStyle w:val="FSCtblMRL2"/>
              <w:jc w:val="left"/>
              <w:rPr>
                <w:lang w:val="en-AU" w:eastAsia="en-AU"/>
              </w:rPr>
            </w:pPr>
            <w:r w:rsidRPr="006E65CC">
              <w:rPr>
                <w:lang w:val="en-AU" w:eastAsia="en-AU"/>
              </w:rPr>
              <w:t>0.1</w:t>
            </w:r>
          </w:p>
        </w:tc>
      </w:tr>
    </w:tbl>
    <w:p w14:paraId="28AD3C02" w14:textId="77777777" w:rsidR="005D30DA" w:rsidRPr="005D30DA" w:rsidRDefault="005D30DA" w:rsidP="005D30DA">
      <w:pPr>
        <w:spacing w:before="120" w:after="120"/>
        <w:ind w:left="851" w:hanging="851"/>
        <w:rPr>
          <w:b/>
          <w:sz w:val="20"/>
          <w:szCs w:val="20"/>
          <w:lang w:bidi="ar-SA"/>
        </w:rPr>
      </w:pPr>
    </w:p>
    <w:p w14:paraId="18E3E42F" w14:textId="77777777" w:rsidR="005D30DA" w:rsidRPr="005D30DA" w:rsidRDefault="005D30DA" w:rsidP="00965633">
      <w:pPr>
        <w:pStyle w:val="FSCDraftingitemheading"/>
      </w:pPr>
      <w:r w:rsidRPr="005D30DA">
        <w:lastRenderedPageBreak/>
        <w:t>[54]</w:t>
      </w:r>
      <w:r w:rsidRPr="005D30DA">
        <w:tab/>
        <w:t xml:space="preserve">Section S20—3 (table entry for </w:t>
      </w:r>
      <w:proofErr w:type="spellStart"/>
      <w:r w:rsidRPr="005D30DA">
        <w:t>Agvet</w:t>
      </w:r>
      <w:proofErr w:type="spellEnd"/>
      <w:r w:rsidRPr="005D30DA">
        <w:t xml:space="preserve"> chemical: </w:t>
      </w:r>
      <w:proofErr w:type="spellStart"/>
      <w:r w:rsidRPr="005D30DA">
        <w:t>Pyraflufen</w:t>
      </w:r>
      <w:proofErr w:type="spellEnd"/>
      <w:r w:rsidRPr="005D30DA">
        <w:t>-ethyl)</w:t>
      </w:r>
    </w:p>
    <w:p w14:paraId="79B58F2D" w14:textId="77777777" w:rsidR="005D30DA" w:rsidRPr="005D30DA" w:rsidRDefault="005D30DA" w:rsidP="005672E6">
      <w:pPr>
        <w:pStyle w:val="FSCDraftingitem"/>
      </w:pPr>
      <w:r w:rsidRPr="005D30DA">
        <w:tab/>
      </w:r>
      <w:r w:rsidRPr="005D30DA">
        <w:rPr>
          <w:shd w:val="clear" w:color="auto" w:fill="FFFFFF"/>
        </w:rPr>
        <w:t>Insert</w:t>
      </w:r>
      <w:r w:rsidRPr="005D30DA">
        <w:t>:</w:t>
      </w:r>
    </w:p>
    <w:tbl>
      <w:tblPr>
        <w:tblW w:w="4425" w:type="dxa"/>
        <w:shd w:val="clear" w:color="auto" w:fill="FFFFFF"/>
        <w:tblCellMar>
          <w:left w:w="0" w:type="dxa"/>
          <w:right w:w="0" w:type="dxa"/>
        </w:tblCellMar>
        <w:tblLook w:val="04A0" w:firstRow="1" w:lastRow="0" w:firstColumn="1" w:lastColumn="0" w:noHBand="0" w:noVBand="1"/>
      </w:tblPr>
      <w:tblGrid>
        <w:gridCol w:w="3404"/>
        <w:gridCol w:w="1021"/>
      </w:tblGrid>
      <w:tr w:rsidR="005D30DA" w:rsidRPr="005D30DA" w14:paraId="63070719" w14:textId="77777777" w:rsidTr="004D1CBE">
        <w:tc>
          <w:tcPr>
            <w:tcW w:w="3402" w:type="dxa"/>
            <w:shd w:val="clear" w:color="auto" w:fill="FFFFFF"/>
            <w:tcMar>
              <w:top w:w="0" w:type="dxa"/>
              <w:left w:w="108" w:type="dxa"/>
              <w:bottom w:w="0" w:type="dxa"/>
              <w:right w:w="108" w:type="dxa"/>
            </w:tcMar>
            <w:hideMark/>
          </w:tcPr>
          <w:p w14:paraId="4542A2B7" w14:textId="77777777" w:rsidR="005D30DA" w:rsidRPr="005D30DA" w:rsidRDefault="005D30DA" w:rsidP="00901F6E">
            <w:pPr>
              <w:pStyle w:val="FSCtblMRL1"/>
              <w:ind w:left="-105"/>
              <w:rPr>
                <w:lang w:val="en-AU"/>
              </w:rPr>
            </w:pPr>
            <w:r w:rsidRPr="005D30DA">
              <w:rPr>
                <w:bCs/>
                <w:sz w:val="20"/>
              </w:rPr>
              <w:t>Pulses</w:t>
            </w:r>
          </w:p>
        </w:tc>
        <w:tc>
          <w:tcPr>
            <w:tcW w:w="1020" w:type="dxa"/>
            <w:shd w:val="clear" w:color="auto" w:fill="FFFFFF"/>
            <w:tcMar>
              <w:top w:w="0" w:type="dxa"/>
              <w:left w:w="108" w:type="dxa"/>
              <w:bottom w:w="0" w:type="dxa"/>
              <w:right w:w="108" w:type="dxa"/>
            </w:tcMar>
            <w:hideMark/>
          </w:tcPr>
          <w:p w14:paraId="28691994" w14:textId="77777777" w:rsidR="005D30DA" w:rsidRPr="005D30DA" w:rsidRDefault="005D30DA" w:rsidP="00AC15A0">
            <w:pPr>
              <w:pStyle w:val="FSCtblMRL2"/>
            </w:pPr>
            <w:r w:rsidRPr="005D30DA">
              <w:t>*0.02</w:t>
            </w:r>
          </w:p>
        </w:tc>
      </w:tr>
      <w:bookmarkEnd w:id="101"/>
    </w:tbl>
    <w:p w14:paraId="1FA83D19" w14:textId="77777777" w:rsidR="005D30DA" w:rsidRPr="005D30DA" w:rsidRDefault="005D30DA" w:rsidP="005D30DA">
      <w:pPr>
        <w:tabs>
          <w:tab w:val="left" w:pos="851"/>
        </w:tabs>
        <w:autoSpaceDE w:val="0"/>
        <w:autoSpaceDN w:val="0"/>
        <w:adjustRightInd w:val="0"/>
        <w:rPr>
          <w:b/>
          <w:color w:val="FF0000"/>
          <w:szCs w:val="20"/>
          <w:lang w:bidi="ar-SA"/>
        </w:rPr>
      </w:pPr>
    </w:p>
    <w:p w14:paraId="143CBAF5" w14:textId="77777777" w:rsidR="005D30DA" w:rsidRPr="005D30DA" w:rsidRDefault="005D30DA" w:rsidP="00965633">
      <w:pPr>
        <w:pStyle w:val="FSCDraftingitemheading"/>
      </w:pPr>
      <w:bookmarkStart w:id="102" w:name="_Hlk118369653"/>
      <w:r w:rsidRPr="005D30DA">
        <w:t>[55]</w:t>
      </w:r>
      <w:r w:rsidRPr="005D30DA">
        <w:tab/>
        <w:t xml:space="preserve">Section S20—3 (table entry for </w:t>
      </w:r>
      <w:proofErr w:type="spellStart"/>
      <w:r w:rsidRPr="005D30DA">
        <w:t>Agvet</w:t>
      </w:r>
      <w:proofErr w:type="spellEnd"/>
      <w:r w:rsidRPr="005D30DA">
        <w:t xml:space="preserve"> chemical: </w:t>
      </w:r>
      <w:proofErr w:type="spellStart"/>
      <w:r w:rsidRPr="005D30DA">
        <w:t>Pyroxasulfone</w:t>
      </w:r>
      <w:proofErr w:type="spellEnd"/>
      <w:r w:rsidRPr="005D30DA">
        <w:t>)</w:t>
      </w:r>
    </w:p>
    <w:p w14:paraId="78DCF86E" w14:textId="77777777" w:rsidR="005D30DA" w:rsidRPr="005D30DA" w:rsidRDefault="005D30DA" w:rsidP="005672E6">
      <w:pPr>
        <w:pStyle w:val="FSCDraftingitem"/>
      </w:pPr>
      <w:r w:rsidRPr="005D30DA">
        <w:tab/>
      </w:r>
      <w:r w:rsidRPr="005D30DA">
        <w:rPr>
          <w:shd w:val="clear" w:color="auto" w:fill="FFFFFF"/>
        </w:rPr>
        <w:t>Insert</w:t>
      </w:r>
      <w:r w:rsidRPr="005D30DA">
        <w:t>:</w:t>
      </w:r>
    </w:p>
    <w:tbl>
      <w:tblPr>
        <w:tblW w:w="4425" w:type="dxa"/>
        <w:shd w:val="clear" w:color="auto" w:fill="FFFFFF"/>
        <w:tblCellMar>
          <w:left w:w="0" w:type="dxa"/>
          <w:right w:w="0" w:type="dxa"/>
        </w:tblCellMar>
        <w:tblLook w:val="04A0" w:firstRow="1" w:lastRow="0" w:firstColumn="1" w:lastColumn="0" w:noHBand="0" w:noVBand="1"/>
      </w:tblPr>
      <w:tblGrid>
        <w:gridCol w:w="3404"/>
        <w:gridCol w:w="1021"/>
      </w:tblGrid>
      <w:tr w:rsidR="005D30DA" w:rsidRPr="005D30DA" w14:paraId="0306570F" w14:textId="77777777" w:rsidTr="004D1CBE">
        <w:tc>
          <w:tcPr>
            <w:tcW w:w="3402" w:type="dxa"/>
            <w:shd w:val="clear" w:color="auto" w:fill="FFFFFF"/>
            <w:tcMar>
              <w:top w:w="0" w:type="dxa"/>
              <w:left w:w="108" w:type="dxa"/>
              <w:bottom w:w="0" w:type="dxa"/>
              <w:right w:w="108" w:type="dxa"/>
            </w:tcMar>
            <w:hideMark/>
          </w:tcPr>
          <w:p w14:paraId="50339357" w14:textId="77777777" w:rsidR="005D30DA" w:rsidRPr="005D30DA" w:rsidRDefault="005D30DA" w:rsidP="00901F6E">
            <w:pPr>
              <w:pStyle w:val="FSCtblMRL1"/>
              <w:ind w:left="-105"/>
              <w:rPr>
                <w:lang w:val="en-AU"/>
              </w:rPr>
            </w:pPr>
            <w:r w:rsidRPr="005D30DA">
              <w:rPr>
                <w:bCs/>
                <w:sz w:val="20"/>
              </w:rPr>
              <w:t>Pulses</w:t>
            </w:r>
          </w:p>
        </w:tc>
        <w:tc>
          <w:tcPr>
            <w:tcW w:w="1020" w:type="dxa"/>
            <w:shd w:val="clear" w:color="auto" w:fill="FFFFFF"/>
            <w:tcMar>
              <w:top w:w="0" w:type="dxa"/>
              <w:left w:w="108" w:type="dxa"/>
              <w:bottom w:w="0" w:type="dxa"/>
              <w:right w:w="108" w:type="dxa"/>
            </w:tcMar>
            <w:hideMark/>
          </w:tcPr>
          <w:p w14:paraId="65A8425A" w14:textId="77777777" w:rsidR="005D30DA" w:rsidRPr="005D30DA" w:rsidRDefault="005D30DA" w:rsidP="00AC15A0">
            <w:pPr>
              <w:pStyle w:val="FSCtblMRL2"/>
              <w:rPr>
                <w:lang w:val="en-AU" w:eastAsia="en-AU"/>
              </w:rPr>
            </w:pPr>
            <w:r w:rsidRPr="005D30DA">
              <w:rPr>
                <w:lang w:val="en-AU" w:eastAsia="en-AU"/>
              </w:rPr>
              <w:t>*0.01</w:t>
            </w:r>
          </w:p>
        </w:tc>
      </w:tr>
      <w:bookmarkEnd w:id="102"/>
    </w:tbl>
    <w:p w14:paraId="25467E31" w14:textId="77777777" w:rsidR="005D30DA" w:rsidRPr="005D30DA" w:rsidRDefault="005D30DA" w:rsidP="005D30DA">
      <w:pPr>
        <w:tabs>
          <w:tab w:val="left" w:pos="851"/>
        </w:tabs>
        <w:autoSpaceDE w:val="0"/>
        <w:autoSpaceDN w:val="0"/>
        <w:adjustRightInd w:val="0"/>
        <w:rPr>
          <w:b/>
          <w:color w:val="FF0000"/>
          <w:szCs w:val="20"/>
          <w:lang w:bidi="ar-SA"/>
        </w:rPr>
      </w:pPr>
    </w:p>
    <w:p w14:paraId="1C63E9EF" w14:textId="77777777" w:rsidR="005D30DA" w:rsidRPr="005D30DA" w:rsidRDefault="005D30DA" w:rsidP="00965633">
      <w:pPr>
        <w:pStyle w:val="FSCDraftingitemheading"/>
      </w:pPr>
      <w:r w:rsidRPr="005D30DA">
        <w:t>[56]</w:t>
      </w:r>
      <w:r w:rsidRPr="005D30DA">
        <w:tab/>
        <w:t xml:space="preserve">Section S20—3 (table entry for </w:t>
      </w:r>
      <w:proofErr w:type="spellStart"/>
      <w:r w:rsidRPr="005D30DA">
        <w:t>Agvet</w:t>
      </w:r>
      <w:proofErr w:type="spellEnd"/>
      <w:r w:rsidRPr="005D30DA">
        <w:t xml:space="preserve"> chemical: </w:t>
      </w:r>
      <w:proofErr w:type="spellStart"/>
      <w:r w:rsidRPr="005D30DA">
        <w:t>Sethoxydim</w:t>
      </w:r>
      <w:proofErr w:type="spellEnd"/>
      <w:r w:rsidRPr="005D30DA">
        <w:t>)</w:t>
      </w:r>
    </w:p>
    <w:p w14:paraId="40122EEB" w14:textId="77777777" w:rsidR="005D30DA" w:rsidRPr="005D30DA" w:rsidRDefault="005D30DA" w:rsidP="005672E6">
      <w:pPr>
        <w:pStyle w:val="FSCDraftingitem"/>
      </w:pPr>
      <w:r w:rsidRPr="005D30DA">
        <w:tab/>
      </w:r>
      <w:r w:rsidRPr="005D30DA">
        <w:rPr>
          <w:shd w:val="clear" w:color="auto" w:fill="FFFFFF"/>
        </w:rPr>
        <w:t>Insert</w:t>
      </w:r>
      <w:r w:rsidRPr="005D30DA">
        <w:t>:</w:t>
      </w:r>
    </w:p>
    <w:tbl>
      <w:tblPr>
        <w:tblW w:w="4425" w:type="dxa"/>
        <w:shd w:val="clear" w:color="auto" w:fill="FFFFFF"/>
        <w:tblCellMar>
          <w:left w:w="0" w:type="dxa"/>
          <w:right w:w="0" w:type="dxa"/>
        </w:tblCellMar>
        <w:tblLook w:val="04A0" w:firstRow="1" w:lastRow="0" w:firstColumn="1" w:lastColumn="0" w:noHBand="0" w:noVBand="1"/>
      </w:tblPr>
      <w:tblGrid>
        <w:gridCol w:w="3404"/>
        <w:gridCol w:w="1021"/>
      </w:tblGrid>
      <w:tr w:rsidR="005D30DA" w:rsidRPr="005D30DA" w14:paraId="649EB14F" w14:textId="77777777" w:rsidTr="004D1CBE">
        <w:tc>
          <w:tcPr>
            <w:tcW w:w="3402" w:type="dxa"/>
            <w:shd w:val="clear" w:color="auto" w:fill="FFFFFF"/>
            <w:tcMar>
              <w:top w:w="0" w:type="dxa"/>
              <w:left w:w="108" w:type="dxa"/>
              <w:bottom w:w="0" w:type="dxa"/>
              <w:right w:w="108" w:type="dxa"/>
            </w:tcMar>
            <w:hideMark/>
          </w:tcPr>
          <w:p w14:paraId="149ED6F3" w14:textId="77777777" w:rsidR="005D30DA" w:rsidRPr="005D30DA" w:rsidRDefault="005D30DA" w:rsidP="00901F6E">
            <w:pPr>
              <w:pStyle w:val="FSCtblMRL1"/>
              <w:ind w:left="-105"/>
              <w:rPr>
                <w:lang w:val="en-AU"/>
              </w:rPr>
            </w:pPr>
            <w:r w:rsidRPr="005D30DA">
              <w:rPr>
                <w:bCs/>
                <w:sz w:val="20"/>
              </w:rPr>
              <w:t>Pulses</w:t>
            </w:r>
            <w:r w:rsidRPr="005D30DA">
              <w:t xml:space="preserve"> [except beans (dry); lupin (dry)]</w:t>
            </w:r>
          </w:p>
        </w:tc>
        <w:tc>
          <w:tcPr>
            <w:tcW w:w="1020" w:type="dxa"/>
            <w:shd w:val="clear" w:color="auto" w:fill="FFFFFF"/>
            <w:tcMar>
              <w:top w:w="0" w:type="dxa"/>
              <w:left w:w="108" w:type="dxa"/>
              <w:bottom w:w="0" w:type="dxa"/>
              <w:right w:w="108" w:type="dxa"/>
            </w:tcMar>
            <w:hideMark/>
          </w:tcPr>
          <w:p w14:paraId="2CA8D922" w14:textId="77777777" w:rsidR="005D30DA" w:rsidRPr="005D30DA" w:rsidRDefault="005D30DA" w:rsidP="00AC15A0">
            <w:pPr>
              <w:pStyle w:val="FSCtblMRL2"/>
              <w:rPr>
                <w:lang w:val="en-AU" w:eastAsia="en-AU"/>
              </w:rPr>
            </w:pPr>
            <w:r w:rsidRPr="005D30DA">
              <w:rPr>
                <w:lang w:val="en-AU" w:eastAsia="en-AU"/>
              </w:rPr>
              <w:t>*0.1</w:t>
            </w:r>
          </w:p>
        </w:tc>
      </w:tr>
    </w:tbl>
    <w:p w14:paraId="37051A3D" w14:textId="77777777" w:rsidR="005D30DA" w:rsidRPr="005D30DA" w:rsidRDefault="005D30DA" w:rsidP="005D30DA">
      <w:pPr>
        <w:tabs>
          <w:tab w:val="left" w:pos="851"/>
        </w:tabs>
        <w:autoSpaceDE w:val="0"/>
        <w:autoSpaceDN w:val="0"/>
        <w:adjustRightInd w:val="0"/>
        <w:rPr>
          <w:b/>
          <w:color w:val="FF0000"/>
          <w:szCs w:val="20"/>
          <w:lang w:bidi="ar-SA"/>
        </w:rPr>
      </w:pPr>
    </w:p>
    <w:p w14:paraId="59CC5746" w14:textId="77777777" w:rsidR="005D30DA" w:rsidRPr="005D30DA" w:rsidRDefault="005D30DA" w:rsidP="00965633">
      <w:pPr>
        <w:pStyle w:val="FSCDraftingitemheading"/>
      </w:pPr>
      <w:r w:rsidRPr="005D30DA">
        <w:rPr>
          <w:shd w:val="clear" w:color="auto" w:fill="FFFFFF"/>
        </w:rPr>
        <w:t>[57]</w:t>
      </w:r>
      <w:r w:rsidRPr="005D30DA">
        <w:rPr>
          <w:shd w:val="clear" w:color="auto" w:fill="FFFFFF"/>
        </w:rPr>
        <w:tab/>
      </w:r>
      <w:r w:rsidRPr="005D30DA">
        <w:t xml:space="preserve">Section S20—3 (table entry for </w:t>
      </w:r>
      <w:proofErr w:type="spellStart"/>
      <w:r w:rsidRPr="005D30DA">
        <w:t>Agvet</w:t>
      </w:r>
      <w:proofErr w:type="spellEnd"/>
      <w:r w:rsidRPr="005D30DA">
        <w:t xml:space="preserve"> chemical: Triticonazole)</w:t>
      </w:r>
      <w:r w:rsidRPr="005D30DA">
        <w:tab/>
      </w:r>
    </w:p>
    <w:p w14:paraId="0F3CEC5A" w14:textId="77777777" w:rsidR="005D30DA" w:rsidRPr="005D30DA" w:rsidRDefault="005D30DA" w:rsidP="005672E6">
      <w:pPr>
        <w:pStyle w:val="FSCDraftingitem"/>
      </w:pPr>
      <w:r w:rsidRPr="005D30DA">
        <w:tab/>
      </w:r>
      <w:r w:rsidRPr="005D30DA">
        <w:rPr>
          <w:shd w:val="clear" w:color="auto" w:fill="FFFFFF"/>
        </w:rPr>
        <w:t>Omit</w:t>
      </w:r>
      <w:r w:rsidRPr="005D30DA">
        <w:t>:</w:t>
      </w:r>
    </w:p>
    <w:p w14:paraId="2F43FCF5" w14:textId="77777777" w:rsidR="005D30DA" w:rsidRPr="005D30DA" w:rsidRDefault="005D30DA" w:rsidP="00901F6E">
      <w:pPr>
        <w:pStyle w:val="FSCtblMRL1"/>
        <w:ind w:left="-105" w:firstLine="105"/>
      </w:pPr>
      <w:r w:rsidRPr="005D30DA">
        <w:rPr>
          <w:bCs/>
          <w:sz w:val="20"/>
        </w:rPr>
        <w:t>Cereal</w:t>
      </w:r>
      <w:r w:rsidRPr="005D30DA">
        <w:t xml:space="preserve"> grains (except sweet corns)</w:t>
      </w:r>
    </w:p>
    <w:p w14:paraId="5E4C08B0" w14:textId="77777777" w:rsidR="005D30DA" w:rsidRPr="005D30DA" w:rsidRDefault="005D30DA" w:rsidP="005672E6">
      <w:pPr>
        <w:pStyle w:val="FSCDraftingitem"/>
      </w:pPr>
      <w:r w:rsidRPr="005D30DA">
        <w:tab/>
      </w:r>
      <w:r w:rsidRPr="005D30DA">
        <w:rPr>
          <w:shd w:val="clear" w:color="auto" w:fill="FFFFFF"/>
        </w:rPr>
        <w:t>substitute</w:t>
      </w:r>
      <w:r w:rsidRPr="005D30DA">
        <w:t>:</w:t>
      </w:r>
    </w:p>
    <w:p w14:paraId="25F61EEE" w14:textId="77777777" w:rsidR="005D30DA" w:rsidRPr="005D30DA" w:rsidRDefault="005D30DA" w:rsidP="00901F6E">
      <w:pPr>
        <w:pStyle w:val="FSCtblMRL1"/>
        <w:ind w:left="-105" w:firstLine="105"/>
      </w:pPr>
      <w:r w:rsidRPr="005D30DA">
        <w:rPr>
          <w:bCs/>
          <w:sz w:val="20"/>
        </w:rPr>
        <w:t>Cereal</w:t>
      </w:r>
      <w:r w:rsidRPr="005D30DA">
        <w:t xml:space="preserve"> grains [except sweet corns]</w:t>
      </w:r>
    </w:p>
    <w:p w14:paraId="6E0D65E0" w14:textId="77777777" w:rsidR="005D30DA" w:rsidRPr="005D30DA" w:rsidRDefault="005D30DA" w:rsidP="005D30DA">
      <w:pPr>
        <w:keepLines/>
        <w:widowControl/>
        <w:spacing w:before="20" w:after="20"/>
        <w:rPr>
          <w:rFonts w:cs="Arial"/>
          <w:sz w:val="18"/>
          <w:szCs w:val="20"/>
          <w:lang w:eastAsia="en-AU"/>
        </w:rPr>
      </w:pPr>
    </w:p>
    <w:p w14:paraId="130A4547" w14:textId="77777777" w:rsidR="005D30DA" w:rsidRPr="005D30DA" w:rsidRDefault="005D30DA" w:rsidP="00965633">
      <w:pPr>
        <w:pStyle w:val="FSCDraftingitemheading"/>
      </w:pPr>
      <w:r w:rsidRPr="005D30DA">
        <w:t>Schedule 25 Permitted novel foods</w:t>
      </w:r>
    </w:p>
    <w:p w14:paraId="0C1074DC" w14:textId="77777777" w:rsidR="005D30DA" w:rsidRPr="005D30DA" w:rsidRDefault="005D30DA" w:rsidP="00965633">
      <w:pPr>
        <w:pStyle w:val="FSCDraftingitemheading"/>
      </w:pPr>
      <w:r w:rsidRPr="005D30DA">
        <w:t>[58]</w:t>
      </w:r>
      <w:r w:rsidRPr="005D30DA">
        <w:tab/>
        <w:t>Section S25—2 (table entry for “Rapeseed protein isolate”)</w:t>
      </w:r>
    </w:p>
    <w:p w14:paraId="499D56D0" w14:textId="1BB0CF1B" w:rsidR="00AF06FC" w:rsidRDefault="005D30DA" w:rsidP="005241DC">
      <w:pPr>
        <w:pStyle w:val="FSCDraftingitem"/>
      </w:pPr>
      <w:r w:rsidRPr="005D30DA">
        <w:tab/>
      </w:r>
      <w:r w:rsidRPr="005D30DA">
        <w:rPr>
          <w:shd w:val="clear" w:color="auto" w:fill="FFFFFF"/>
        </w:rPr>
        <w:t>Omit</w:t>
      </w:r>
      <w:r w:rsidRPr="005D30DA">
        <w:t xml:space="preserve"> “section S3—40”, substitute “section S3—39A”</w:t>
      </w:r>
    </w:p>
    <w:p w14:paraId="6905F92D" w14:textId="2535204C" w:rsidR="00190C75" w:rsidRDefault="00190C75">
      <w:pPr>
        <w:widowControl/>
        <w:rPr>
          <w:sz w:val="20"/>
          <w:szCs w:val="20"/>
          <w:lang w:bidi="ar-SA"/>
        </w:rPr>
      </w:pPr>
      <w:r>
        <w:br w:type="page"/>
      </w:r>
    </w:p>
    <w:p w14:paraId="34184367" w14:textId="77777777" w:rsidR="00AB0275" w:rsidRDefault="002C4A91" w:rsidP="00AB0275">
      <w:pPr>
        <w:pStyle w:val="Heading2"/>
        <w:ind w:left="0" w:firstLine="0"/>
      </w:pPr>
      <w:bookmarkStart w:id="103" w:name="_Toc125028817"/>
      <w:r w:rsidRPr="00932F14">
        <w:lastRenderedPageBreak/>
        <w:t xml:space="preserve">Attachment </w:t>
      </w:r>
      <w:r>
        <w:t xml:space="preserve">B – </w:t>
      </w:r>
      <w:r w:rsidR="00AB0275">
        <w:t>Draft Explanatory Statement</w:t>
      </w:r>
      <w:bookmarkEnd w:id="103"/>
    </w:p>
    <w:p w14:paraId="01877CA4" w14:textId="77777777" w:rsidR="00E066FD" w:rsidRDefault="00E066FD" w:rsidP="00E066FD">
      <w:pPr>
        <w:jc w:val="center"/>
        <w:rPr>
          <w:b/>
          <w:caps/>
          <w:szCs w:val="22"/>
          <w:u w:val="single"/>
          <w:lang w:bidi="ar-SA"/>
        </w:rPr>
      </w:pPr>
      <w:r>
        <w:rPr>
          <w:b/>
          <w:caps/>
          <w:u w:val="single"/>
        </w:rPr>
        <w:t>Explanatory Statement</w:t>
      </w:r>
    </w:p>
    <w:p w14:paraId="45C5414C" w14:textId="77777777" w:rsidR="00E066FD" w:rsidRDefault="00E066FD" w:rsidP="00E066FD"/>
    <w:p w14:paraId="3B66D069" w14:textId="77777777" w:rsidR="00E066FD" w:rsidRDefault="00E066FD" w:rsidP="00E066FD">
      <w:pPr>
        <w:shd w:val="clear" w:color="auto" w:fill="FFFFFF"/>
        <w:spacing w:after="200" w:line="253" w:lineRule="atLeast"/>
        <w:jc w:val="center"/>
        <w:rPr>
          <w:rFonts w:cs="Arial"/>
          <w:color w:val="000000"/>
          <w:lang w:eastAsia="en-GB"/>
        </w:rPr>
      </w:pPr>
      <w:r>
        <w:rPr>
          <w:rFonts w:cs="Arial"/>
          <w:i/>
          <w:iCs/>
          <w:color w:val="000000"/>
          <w:lang w:val="en-AU" w:eastAsia="en-GB"/>
        </w:rPr>
        <w:t>Food Standards Australia New Zealand Act 1991</w:t>
      </w:r>
    </w:p>
    <w:p w14:paraId="72561C3D" w14:textId="009EF916" w:rsidR="00E066FD" w:rsidRPr="00E066FD" w:rsidRDefault="00E066FD" w:rsidP="00E066FD">
      <w:pPr>
        <w:jc w:val="center"/>
        <w:rPr>
          <w:rFonts w:eastAsiaTheme="minorHAnsi" w:cs="Arial"/>
          <w:b/>
          <w:bCs/>
          <w:i/>
          <w:iCs/>
        </w:rPr>
      </w:pPr>
      <w:bookmarkStart w:id="104" w:name="_Hlk123897590"/>
      <w:r w:rsidRPr="00D8156C">
        <w:rPr>
          <w:b/>
          <w:bCs/>
          <w:i/>
          <w:iCs/>
        </w:rPr>
        <w:t>Food Standards (Proposal P1061</w:t>
      </w:r>
      <w:r w:rsidR="00D64E18" w:rsidRPr="00D8156C">
        <w:rPr>
          <w:b/>
          <w:bCs/>
          <w:i/>
          <w:iCs/>
        </w:rPr>
        <w:t xml:space="preserve"> – </w:t>
      </w:r>
      <w:r w:rsidR="00614C71" w:rsidRPr="00D8156C">
        <w:rPr>
          <w:b/>
          <w:bCs/>
          <w:i/>
          <w:iCs/>
        </w:rPr>
        <w:t>Code Revision</w:t>
      </w:r>
      <w:r w:rsidR="00D64E18" w:rsidRPr="00D8156C">
        <w:rPr>
          <w:b/>
          <w:bCs/>
          <w:i/>
          <w:iCs/>
        </w:rPr>
        <w:t xml:space="preserve"> </w:t>
      </w:r>
      <w:r w:rsidR="0063381E" w:rsidRPr="00D8156C">
        <w:rPr>
          <w:b/>
          <w:bCs/>
          <w:i/>
          <w:iCs/>
        </w:rPr>
        <w:t>(</w:t>
      </w:r>
      <w:r w:rsidR="00D64E18" w:rsidRPr="00D8156C">
        <w:rPr>
          <w:b/>
          <w:bCs/>
          <w:i/>
          <w:iCs/>
        </w:rPr>
        <w:t>2023</w:t>
      </w:r>
      <w:r w:rsidR="0063381E" w:rsidRPr="00D8156C">
        <w:rPr>
          <w:b/>
          <w:bCs/>
          <w:i/>
          <w:iCs/>
        </w:rPr>
        <w:t>)</w:t>
      </w:r>
      <w:r w:rsidRPr="00D8156C">
        <w:rPr>
          <w:b/>
          <w:bCs/>
          <w:i/>
          <w:iCs/>
        </w:rPr>
        <w:t xml:space="preserve">) </w:t>
      </w:r>
      <w:r w:rsidRPr="00D8156C">
        <w:rPr>
          <w:rFonts w:cs="Arial"/>
          <w:b/>
          <w:bCs/>
          <w:i/>
          <w:iCs/>
        </w:rPr>
        <w:t>Variation</w:t>
      </w:r>
    </w:p>
    <w:bookmarkEnd w:id="104"/>
    <w:p w14:paraId="25C3A5FE" w14:textId="77777777" w:rsidR="00E066FD" w:rsidRPr="00E066FD" w:rsidRDefault="00E066FD" w:rsidP="00164317"/>
    <w:p w14:paraId="21DE9818"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737D83BE" w14:textId="77777777" w:rsidR="00AB0275" w:rsidRDefault="00AB0275" w:rsidP="00AB0275">
      <w:pPr>
        <w:rPr>
          <w:lang w:val="en-AU" w:eastAsia="en-GB" w:bidi="ar-SA"/>
        </w:rPr>
      </w:pPr>
    </w:p>
    <w:p w14:paraId="3134049D"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3A1C6CA" w14:textId="77777777" w:rsidR="00AB0275" w:rsidRPr="00D13E34" w:rsidRDefault="00AB0275" w:rsidP="00AB0275">
      <w:pPr>
        <w:widowControl/>
        <w:autoSpaceDE w:val="0"/>
        <w:autoSpaceDN w:val="0"/>
        <w:adjustRightInd w:val="0"/>
        <w:rPr>
          <w:rFonts w:eastAsia="Calibri" w:cs="Arial"/>
          <w:bCs/>
          <w:szCs w:val="22"/>
          <w:lang w:val="en-AU" w:bidi="ar-SA"/>
        </w:rPr>
      </w:pPr>
    </w:p>
    <w:p w14:paraId="61D4B1B7" w14:textId="77777777" w:rsidR="00C864D0" w:rsidRPr="00CC479A" w:rsidRDefault="00C864D0" w:rsidP="00C864D0">
      <w:pPr>
        <w:widowControl/>
        <w:autoSpaceDE w:val="0"/>
        <w:autoSpaceDN w:val="0"/>
        <w:adjustRightInd w:val="0"/>
        <w:rPr>
          <w:rFonts w:eastAsia="Calibri" w:cs="Arial"/>
          <w:bCs/>
          <w:szCs w:val="22"/>
          <w:lang w:val="en-AU" w:bidi="ar-SA"/>
        </w:rPr>
      </w:pPr>
      <w:r w:rsidRPr="00CC479A">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37B2A7A0" w14:textId="77777777" w:rsidR="00C864D0" w:rsidRPr="00CC479A" w:rsidRDefault="00C864D0" w:rsidP="00C864D0">
      <w:pPr>
        <w:widowControl/>
        <w:autoSpaceDE w:val="0"/>
        <w:autoSpaceDN w:val="0"/>
        <w:adjustRightInd w:val="0"/>
        <w:rPr>
          <w:rFonts w:eastAsia="Calibri" w:cs="Arial"/>
          <w:bCs/>
          <w:szCs w:val="22"/>
          <w:lang w:val="en-AU" w:bidi="ar-SA"/>
        </w:rPr>
      </w:pPr>
    </w:p>
    <w:p w14:paraId="5BD57F6A" w14:textId="6A233750" w:rsidR="00C864D0" w:rsidRPr="00CC479A" w:rsidRDefault="00C864D0" w:rsidP="00C864D0">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CC479A">
        <w:rPr>
          <w:rFonts w:eastAsia="Calibri" w:cs="Arial"/>
          <w:bCs/>
          <w:szCs w:val="22"/>
          <w:lang w:val="en-AU" w:bidi="ar-SA"/>
        </w:rPr>
        <w:t xml:space="preserve"> prepared Proposal P</w:t>
      </w:r>
      <w:r>
        <w:rPr>
          <w:rFonts w:eastAsia="Calibri" w:cs="Arial"/>
          <w:bCs/>
          <w:szCs w:val="22"/>
          <w:lang w:val="en-AU" w:bidi="ar-SA"/>
        </w:rPr>
        <w:t>10</w:t>
      </w:r>
      <w:r w:rsidR="00922C16">
        <w:rPr>
          <w:rFonts w:eastAsia="Calibri" w:cs="Arial"/>
          <w:bCs/>
          <w:szCs w:val="22"/>
          <w:lang w:val="en-AU" w:bidi="ar-SA"/>
        </w:rPr>
        <w:t>6</w:t>
      </w:r>
      <w:r>
        <w:rPr>
          <w:rFonts w:eastAsia="Calibri" w:cs="Arial"/>
          <w:bCs/>
          <w:szCs w:val="22"/>
          <w:lang w:val="en-AU" w:bidi="ar-SA"/>
        </w:rPr>
        <w:t>1</w:t>
      </w:r>
      <w:r w:rsidR="00327B76">
        <w:rPr>
          <w:rFonts w:eastAsia="Calibri" w:cs="Arial"/>
          <w:bCs/>
          <w:szCs w:val="22"/>
          <w:lang w:val="en-AU" w:bidi="ar-SA"/>
        </w:rPr>
        <w:t xml:space="preserve"> </w:t>
      </w:r>
      <w:r w:rsidRPr="00CC479A">
        <w:rPr>
          <w:rFonts w:eastAsia="Calibri" w:cs="Arial"/>
          <w:bCs/>
          <w:szCs w:val="22"/>
          <w:lang w:val="en-AU" w:bidi="ar-SA"/>
        </w:rPr>
        <w:t xml:space="preserve">to make a number </w:t>
      </w:r>
      <w:r w:rsidRPr="00642D1E">
        <w:rPr>
          <w:rFonts w:eastAsia="Calibri" w:cs="Arial"/>
          <w:bCs/>
          <w:szCs w:val="22"/>
          <w:lang w:val="en-AU" w:bidi="ar-SA"/>
        </w:rPr>
        <w:t xml:space="preserve">of </w:t>
      </w:r>
      <w:r w:rsidR="00890BE7">
        <w:rPr>
          <w:rFonts w:eastAsia="Calibri" w:cs="Arial"/>
          <w:bCs/>
          <w:szCs w:val="22"/>
          <w:lang w:val="en-AU" w:bidi="ar-SA"/>
        </w:rPr>
        <w:t xml:space="preserve">relatively </w:t>
      </w:r>
      <w:r w:rsidRPr="00642D1E">
        <w:rPr>
          <w:rFonts w:eastAsia="Calibri" w:cs="Arial"/>
          <w:bCs/>
          <w:szCs w:val="22"/>
          <w:lang w:val="en-AU" w:bidi="ar-SA"/>
        </w:rPr>
        <w:t>minor amendments</w:t>
      </w:r>
      <w:r w:rsidRPr="00CC479A">
        <w:rPr>
          <w:rFonts w:eastAsia="Calibri" w:cs="Arial"/>
          <w:bCs/>
          <w:szCs w:val="22"/>
          <w:lang w:val="en-AU" w:bidi="ar-SA"/>
        </w:rPr>
        <w:t xml:space="preserve"> to the Code. The Authority considered the Proposal in accordance with Division 2 of Part 3 </w:t>
      </w:r>
      <w:r w:rsidRPr="00D8156C">
        <w:rPr>
          <w:rFonts w:eastAsia="Calibri" w:cs="Arial"/>
          <w:bCs/>
          <w:szCs w:val="22"/>
          <w:lang w:val="en-AU" w:bidi="ar-SA"/>
        </w:rPr>
        <w:t>and has prepared a draft variation</w:t>
      </w:r>
      <w:r w:rsidR="0063381E" w:rsidRPr="00D8156C">
        <w:rPr>
          <w:rFonts w:eastAsia="Calibri" w:cs="Arial"/>
          <w:bCs/>
          <w:szCs w:val="22"/>
          <w:lang w:val="en-AU" w:bidi="ar-SA"/>
        </w:rPr>
        <w:t xml:space="preserve"> – the </w:t>
      </w:r>
      <w:r w:rsidR="0063381E" w:rsidRPr="00D8156C">
        <w:rPr>
          <w:rFonts w:eastAsia="Calibri" w:cs="Arial"/>
          <w:bCs/>
          <w:i/>
          <w:iCs/>
          <w:szCs w:val="22"/>
          <w:lang w:val="en-AU" w:bidi="ar-SA"/>
        </w:rPr>
        <w:t>Food Standards (Proposal P1061 – Code Revision (2023)) Variation</w:t>
      </w:r>
      <w:r w:rsidRPr="00D8156C">
        <w:rPr>
          <w:rFonts w:eastAsia="Calibri" w:cs="Arial"/>
          <w:bCs/>
          <w:szCs w:val="22"/>
          <w:lang w:val="en-AU" w:bidi="ar-SA"/>
        </w:rPr>
        <w:t>.</w:t>
      </w:r>
      <w:r w:rsidRPr="00CC479A">
        <w:rPr>
          <w:rFonts w:eastAsia="Calibri" w:cs="Arial"/>
          <w:bCs/>
          <w:szCs w:val="22"/>
          <w:lang w:val="en-AU" w:bidi="ar-SA"/>
        </w:rPr>
        <w:t xml:space="preserve"> </w:t>
      </w:r>
    </w:p>
    <w:p w14:paraId="52BE1CAC" w14:textId="77777777" w:rsidR="00AB0275" w:rsidRPr="00D13E34" w:rsidRDefault="00AB0275" w:rsidP="00AB0275">
      <w:pPr>
        <w:widowControl/>
        <w:autoSpaceDE w:val="0"/>
        <w:autoSpaceDN w:val="0"/>
        <w:adjustRightInd w:val="0"/>
        <w:rPr>
          <w:rFonts w:eastAsia="Calibri" w:cs="Arial"/>
          <w:bCs/>
          <w:szCs w:val="22"/>
          <w:lang w:val="en-AU" w:bidi="ar-SA"/>
        </w:rPr>
      </w:pPr>
    </w:p>
    <w:p w14:paraId="625EDD8E" w14:textId="77777777" w:rsidR="00BF45FA" w:rsidRDefault="00BF45FA" w:rsidP="00AB0275">
      <w:pPr>
        <w:rPr>
          <w:b/>
          <w:lang w:val="en-AU" w:eastAsia="en-GB" w:bidi="ar-SA"/>
        </w:rPr>
      </w:pPr>
      <w:r>
        <w:rPr>
          <w:b/>
          <w:lang w:val="en-AU" w:eastAsia="en-GB" w:bidi="ar-SA"/>
        </w:rPr>
        <w:t xml:space="preserve">2. </w:t>
      </w:r>
      <w:r>
        <w:rPr>
          <w:b/>
          <w:lang w:val="en-AU" w:eastAsia="en-GB" w:bidi="ar-SA"/>
        </w:rPr>
        <w:tab/>
        <w:t>Variation will be a legislative instrument</w:t>
      </w:r>
    </w:p>
    <w:p w14:paraId="6C668014" w14:textId="77777777" w:rsidR="00BF45FA" w:rsidRDefault="00BF45FA" w:rsidP="00AB0275">
      <w:pPr>
        <w:rPr>
          <w:b/>
          <w:lang w:val="en-AU" w:eastAsia="en-GB" w:bidi="ar-SA"/>
        </w:rPr>
      </w:pPr>
    </w:p>
    <w:p w14:paraId="334C63E5" w14:textId="00C332A7" w:rsidR="00BF45FA" w:rsidRPr="008531CC" w:rsidRDefault="00BF45FA" w:rsidP="00BF45FA">
      <w:pPr>
        <w:rPr>
          <w:rFonts w:cs="Arial"/>
          <w:szCs w:val="22"/>
          <w:lang w:bidi="ar-SA"/>
        </w:rPr>
      </w:pPr>
      <w:r w:rsidRPr="008531CC">
        <w:rPr>
          <w:rFonts w:cs="Arial"/>
        </w:rPr>
        <w:t>If approved, the draft variation</w:t>
      </w:r>
      <w:r w:rsidR="0088199D">
        <w:rPr>
          <w:rFonts w:cs="Arial"/>
        </w:rPr>
        <w:t xml:space="preserve"> </w:t>
      </w:r>
      <w:r w:rsidRPr="008531CC">
        <w:rPr>
          <w:rFonts w:cs="Arial"/>
        </w:rPr>
        <w:t xml:space="preserve">would be a legislative instrument for the purposes of the </w:t>
      </w:r>
      <w:r w:rsidRPr="008531CC">
        <w:rPr>
          <w:rFonts w:cs="Arial"/>
          <w:i/>
          <w:iCs/>
        </w:rPr>
        <w:t>Legislation Act 2003</w:t>
      </w:r>
      <w:r w:rsidRPr="008531CC">
        <w:rPr>
          <w:rFonts w:cs="Arial"/>
        </w:rPr>
        <w:t xml:space="preserve"> (see section 94 of the FSANZ Act) and be publicly available on the Federal Register of Legislation (</w:t>
      </w:r>
      <w:hyperlink r:id="rId29" w:history="1">
        <w:r w:rsidRPr="008531CC">
          <w:rPr>
            <w:rFonts w:cs="Arial"/>
            <w:color w:val="3333FF"/>
            <w:u w:val="single"/>
          </w:rPr>
          <w:t>www.legislation.gov.au</w:t>
        </w:r>
      </w:hyperlink>
      <w:r w:rsidRPr="008531CC">
        <w:rPr>
          <w:rFonts w:cs="Arial"/>
        </w:rPr>
        <w:t>).</w:t>
      </w:r>
    </w:p>
    <w:p w14:paraId="14A11FEF" w14:textId="77777777" w:rsidR="00BF45FA" w:rsidRPr="008531CC" w:rsidRDefault="00BF45FA" w:rsidP="00BF45FA">
      <w:pPr>
        <w:rPr>
          <w:rFonts w:cs="Arial"/>
        </w:rPr>
      </w:pPr>
    </w:p>
    <w:p w14:paraId="0452E234" w14:textId="77777777" w:rsidR="00BF45FA" w:rsidRPr="00FB45C7" w:rsidRDefault="00BF45FA" w:rsidP="00BF45FA">
      <w:pPr>
        <w:rPr>
          <w:rFonts w:cs="Arial"/>
        </w:rPr>
      </w:pPr>
      <w:r w:rsidRPr="008531CC">
        <w:rPr>
          <w:rFonts w:cs="Arial"/>
        </w:rPr>
        <w:t xml:space="preserve">If approved, this instrument would not be subject to the disallowance or sunsetting provisions of the </w:t>
      </w:r>
      <w:r w:rsidRPr="008531CC">
        <w:rPr>
          <w:rFonts w:cs="Arial"/>
          <w:i/>
          <w:iCs/>
        </w:rPr>
        <w:t xml:space="preserve">Legislation Act 2003. </w:t>
      </w:r>
      <w:r w:rsidRPr="008531CC">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7ABC9837" w14:textId="77777777" w:rsidR="00BF45FA" w:rsidRPr="00FB45C7" w:rsidRDefault="00BF45FA" w:rsidP="00BF45FA">
      <w:pPr>
        <w:rPr>
          <w:rFonts w:cs="Arial"/>
          <w:color w:val="0000CC"/>
        </w:rPr>
      </w:pPr>
    </w:p>
    <w:p w14:paraId="30286015" w14:textId="77777777" w:rsidR="00BF45FA" w:rsidRDefault="00BF45FA" w:rsidP="00BF45FA">
      <w:pPr>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17FAC0E6" w14:textId="77777777" w:rsidR="00BF45FA" w:rsidRDefault="00BF45FA" w:rsidP="00AB0275">
      <w:pPr>
        <w:rPr>
          <w:b/>
          <w:lang w:val="en-AU" w:eastAsia="en-GB" w:bidi="ar-SA"/>
        </w:rPr>
      </w:pPr>
    </w:p>
    <w:p w14:paraId="09C70509" w14:textId="77777777" w:rsidR="00AB0275" w:rsidRDefault="00BF45FA" w:rsidP="00AB0275">
      <w:pPr>
        <w:rPr>
          <w:b/>
          <w:lang w:val="en-AU" w:eastAsia="en-GB" w:bidi="ar-SA"/>
        </w:rPr>
      </w:pPr>
      <w:r>
        <w:rPr>
          <w:b/>
          <w:lang w:val="en-AU" w:eastAsia="en-GB" w:bidi="ar-SA"/>
        </w:rPr>
        <w:t>3</w:t>
      </w:r>
      <w:r w:rsidR="00AB0275">
        <w:rPr>
          <w:b/>
          <w:lang w:val="en-AU" w:eastAsia="en-GB" w:bidi="ar-SA"/>
        </w:rPr>
        <w:t>.</w:t>
      </w:r>
      <w:r w:rsidR="00AB0275">
        <w:rPr>
          <w:b/>
          <w:lang w:val="en-AU" w:eastAsia="en-GB" w:bidi="ar-SA"/>
        </w:rPr>
        <w:tab/>
        <w:t xml:space="preserve">Purpose </w:t>
      </w:r>
    </w:p>
    <w:p w14:paraId="3318D6B4" w14:textId="77777777" w:rsidR="00AB0275" w:rsidRDefault="00AB0275" w:rsidP="00AB0275">
      <w:pPr>
        <w:rPr>
          <w:lang w:val="en-AU" w:eastAsia="en-GB" w:bidi="ar-SA"/>
        </w:rPr>
      </w:pPr>
    </w:p>
    <w:p w14:paraId="7EB6C91D" w14:textId="33E160CD" w:rsidR="00AB0275" w:rsidRDefault="00AB0275" w:rsidP="00AB0275">
      <w:pPr>
        <w:rPr>
          <w:szCs w:val="22"/>
        </w:rPr>
      </w:pPr>
      <w:r>
        <w:rPr>
          <w:lang w:val="en-AU" w:eastAsia="en-GB" w:bidi="ar-SA"/>
        </w:rPr>
        <w:lastRenderedPageBreak/>
        <w:t xml:space="preserve">The Authority has </w:t>
      </w:r>
      <w:r w:rsidR="00E3731E">
        <w:rPr>
          <w:lang w:val="en-AU" w:eastAsia="en-GB" w:bidi="ar-SA"/>
        </w:rPr>
        <w:t xml:space="preserve">prepared a draft variation amending various provisions in the Code to </w:t>
      </w:r>
      <w:r w:rsidR="00E3731E">
        <w:t>correct</w:t>
      </w:r>
      <w:r w:rsidR="00E3731E" w:rsidRPr="000F5A66">
        <w:t xml:space="preserve"> </w:t>
      </w:r>
      <w:r w:rsidR="00A054FA">
        <w:t xml:space="preserve">typographical </w:t>
      </w:r>
      <w:r w:rsidR="00E3731E" w:rsidRPr="000F5A66">
        <w:t>errors</w:t>
      </w:r>
      <w:r w:rsidR="0089777A">
        <w:t>,</w:t>
      </w:r>
      <w:r w:rsidR="009809E6">
        <w:t xml:space="preserve"> </w:t>
      </w:r>
      <w:r w:rsidR="00A054FA">
        <w:t xml:space="preserve">omissions, </w:t>
      </w:r>
      <w:r w:rsidR="00A054FA" w:rsidRPr="00A054FA">
        <w:t>inconsistencies and formatting issues</w:t>
      </w:r>
      <w:r w:rsidR="00E3731E">
        <w:t>; update references</w:t>
      </w:r>
      <w:r w:rsidR="006859F5">
        <w:t xml:space="preserve">; and to </w:t>
      </w:r>
      <w:r w:rsidR="008F2A9D">
        <w:t xml:space="preserve">change </w:t>
      </w:r>
      <w:r w:rsidR="00E45EFD">
        <w:t xml:space="preserve">editorial </w:t>
      </w:r>
      <w:r w:rsidR="00127302">
        <w:t xml:space="preserve">Notes </w:t>
      </w:r>
      <w:r w:rsidR="008F2A9D">
        <w:t>to</w:t>
      </w:r>
      <w:r w:rsidR="006859F5" w:rsidRPr="008F2A9D">
        <w:t xml:space="preserve"> </w:t>
      </w:r>
      <w:r w:rsidR="006859F5" w:rsidRPr="00D43920">
        <w:rPr>
          <w:lang w:bidi="ar-SA"/>
        </w:rPr>
        <w:t>reflect the N</w:t>
      </w:r>
      <w:r w:rsidR="006859F5">
        <w:rPr>
          <w:lang w:bidi="ar-SA"/>
        </w:rPr>
        <w:t xml:space="preserve">ew </w:t>
      </w:r>
      <w:r w:rsidR="006859F5" w:rsidRPr="00D43920">
        <w:rPr>
          <w:lang w:bidi="ar-SA"/>
        </w:rPr>
        <w:t>Z</w:t>
      </w:r>
      <w:r w:rsidR="006859F5">
        <w:rPr>
          <w:lang w:bidi="ar-SA"/>
        </w:rPr>
        <w:t>ealand</w:t>
      </w:r>
      <w:r w:rsidR="006859F5" w:rsidRPr="00D43920">
        <w:rPr>
          <w:lang w:bidi="ar-SA"/>
        </w:rPr>
        <w:t xml:space="preserve"> </w:t>
      </w:r>
      <w:r w:rsidR="006859F5">
        <w:rPr>
          <w:lang w:bidi="ar-SA"/>
        </w:rPr>
        <w:t xml:space="preserve">Government’s </w:t>
      </w:r>
      <w:r w:rsidR="006859F5" w:rsidRPr="00D43920">
        <w:rPr>
          <w:lang w:bidi="ar-SA"/>
        </w:rPr>
        <w:t xml:space="preserve">decision </w:t>
      </w:r>
      <w:r w:rsidR="006859F5">
        <w:rPr>
          <w:lang w:bidi="ar-SA"/>
        </w:rPr>
        <w:t xml:space="preserve">to </w:t>
      </w:r>
      <w:r w:rsidR="00B86ADD" w:rsidRPr="008F2A9D">
        <w:rPr>
          <w:rFonts w:cs="Arial"/>
        </w:rPr>
        <w:t>require the</w:t>
      </w:r>
      <w:r w:rsidR="006859F5" w:rsidRPr="00EB4EF7">
        <w:rPr>
          <w:rFonts w:cs="Arial"/>
        </w:rPr>
        <w:t xml:space="preserve"> mandatory </w:t>
      </w:r>
      <w:r w:rsidR="00B86ADD" w:rsidRPr="008F2A9D">
        <w:rPr>
          <w:rFonts w:cs="Arial"/>
        </w:rPr>
        <w:t>addition</w:t>
      </w:r>
      <w:r w:rsidR="006859F5" w:rsidRPr="00EB4EF7">
        <w:rPr>
          <w:rFonts w:cs="Arial"/>
        </w:rPr>
        <w:t xml:space="preserve"> of folic acid </w:t>
      </w:r>
      <w:r w:rsidR="00B86ADD" w:rsidRPr="008F2A9D">
        <w:rPr>
          <w:rFonts w:cs="Arial"/>
        </w:rPr>
        <w:t>to all</w:t>
      </w:r>
      <w:r w:rsidR="006859F5" w:rsidRPr="00EB4EF7">
        <w:rPr>
          <w:rFonts w:cs="Arial"/>
        </w:rPr>
        <w:t xml:space="preserve"> wheat flour sold </w:t>
      </w:r>
      <w:r w:rsidR="00B86ADD" w:rsidRPr="008F2A9D">
        <w:rPr>
          <w:rFonts w:cs="Arial"/>
        </w:rPr>
        <w:t xml:space="preserve">as suitable for breadmaking </w:t>
      </w:r>
      <w:r w:rsidR="006859F5">
        <w:rPr>
          <w:rFonts w:cs="Arial"/>
        </w:rPr>
        <w:t xml:space="preserve">in New Zealand </w:t>
      </w:r>
      <w:r w:rsidR="00B86ADD" w:rsidRPr="008F2A9D">
        <w:rPr>
          <w:rFonts w:cs="Arial"/>
        </w:rPr>
        <w:t>in accordance with Standard 2.1.1. of the Code</w:t>
      </w:r>
      <w:r w:rsidR="00E60FEB" w:rsidRPr="008F2A9D">
        <w:rPr>
          <w:lang w:val="en-AU" w:eastAsia="en-GB" w:bidi="ar-SA"/>
        </w:rPr>
        <w:t>.</w:t>
      </w:r>
      <w:r w:rsidR="00E3731E">
        <w:t xml:space="preserve"> </w:t>
      </w:r>
      <w:r w:rsidR="00E3731E">
        <w:rPr>
          <w:lang w:val="en-AU" w:eastAsia="en-GB" w:bidi="ar-SA"/>
        </w:rPr>
        <w:t>T</w:t>
      </w:r>
      <w:r w:rsidR="00E3731E">
        <w:t xml:space="preserve">he </w:t>
      </w:r>
      <w:r w:rsidR="00E759BB">
        <w:t xml:space="preserve">proposed </w:t>
      </w:r>
      <w:r w:rsidR="00E3731E">
        <w:t xml:space="preserve">amendments are </w:t>
      </w:r>
      <w:r w:rsidR="00203951">
        <w:t xml:space="preserve">relatively </w:t>
      </w:r>
      <w:r w:rsidR="00E3731E" w:rsidRPr="00110776">
        <w:t>minor in nature</w:t>
      </w:r>
      <w:r w:rsidR="00E3731E">
        <w:rPr>
          <w:szCs w:val="22"/>
        </w:rPr>
        <w:t>.</w:t>
      </w:r>
    </w:p>
    <w:p w14:paraId="7C9AF216" w14:textId="77777777" w:rsidR="00E3731E" w:rsidRDefault="00E3731E" w:rsidP="00AB0275">
      <w:pPr>
        <w:rPr>
          <w:lang w:val="en-AU" w:eastAsia="en-GB" w:bidi="ar-SA"/>
        </w:rPr>
      </w:pPr>
    </w:p>
    <w:p w14:paraId="454E5545" w14:textId="69F0647D" w:rsidR="00AB0275" w:rsidRPr="000576EB" w:rsidRDefault="00BF45FA" w:rsidP="00AB0275">
      <w:pPr>
        <w:rPr>
          <w:b/>
          <w:lang w:val="en-AU" w:eastAsia="en-GB" w:bidi="ar-SA"/>
        </w:rPr>
      </w:pPr>
      <w:r>
        <w:rPr>
          <w:b/>
          <w:lang w:val="en-AU" w:eastAsia="en-GB" w:bidi="ar-SA"/>
        </w:rPr>
        <w:t>4</w:t>
      </w:r>
      <w:r w:rsidR="00AB0275" w:rsidRPr="000576EB">
        <w:rPr>
          <w:b/>
          <w:lang w:val="en-AU" w:eastAsia="en-GB" w:bidi="ar-SA"/>
        </w:rPr>
        <w:t>.</w:t>
      </w:r>
      <w:r w:rsidR="00AB0275" w:rsidRPr="000576EB">
        <w:rPr>
          <w:b/>
          <w:lang w:val="en-AU" w:eastAsia="en-GB" w:bidi="ar-SA"/>
        </w:rPr>
        <w:tab/>
        <w:t>Documents incorporated by reference</w:t>
      </w:r>
    </w:p>
    <w:p w14:paraId="692A1C18" w14:textId="77777777" w:rsidR="00AB0275" w:rsidRDefault="00AB0275" w:rsidP="00AB0275">
      <w:pPr>
        <w:rPr>
          <w:lang w:val="en-AU" w:eastAsia="en-GB" w:bidi="ar-SA"/>
        </w:rPr>
      </w:pPr>
    </w:p>
    <w:p w14:paraId="15364727" w14:textId="32B55A10" w:rsidR="00B02068" w:rsidRDefault="003433C8" w:rsidP="0068709C">
      <w:pPr>
        <w:widowControl/>
        <w:autoSpaceDE w:val="0"/>
        <w:autoSpaceDN w:val="0"/>
        <w:adjustRightInd w:val="0"/>
        <w:rPr>
          <w:rFonts w:cs="Arial"/>
        </w:rPr>
      </w:pPr>
      <w:r>
        <w:rPr>
          <w:rFonts w:eastAsia="Calibri" w:cs="Arial"/>
          <w:bCs/>
          <w:szCs w:val="22"/>
          <w:lang w:val="en-AU" w:bidi="ar-SA"/>
        </w:rPr>
        <w:t>Section 14</w:t>
      </w:r>
      <w:r w:rsidR="001E2EFE">
        <w:rPr>
          <w:rFonts w:eastAsia="Calibri" w:cs="Arial"/>
          <w:bCs/>
          <w:szCs w:val="22"/>
          <w:lang w:val="en-AU" w:bidi="ar-SA"/>
        </w:rPr>
        <w:t xml:space="preserve"> of the </w:t>
      </w:r>
      <w:r w:rsidR="001E2EFE" w:rsidRPr="008531CC">
        <w:rPr>
          <w:rFonts w:cs="Arial"/>
          <w:i/>
          <w:iCs/>
        </w:rPr>
        <w:t>Legislation Act 2003</w:t>
      </w:r>
      <w:r w:rsidR="001E2EFE">
        <w:rPr>
          <w:rFonts w:cs="Arial"/>
          <w:i/>
          <w:iCs/>
        </w:rPr>
        <w:t xml:space="preserve"> </w:t>
      </w:r>
      <w:r>
        <w:rPr>
          <w:rFonts w:cs="Arial"/>
        </w:rPr>
        <w:t>provides that</w:t>
      </w:r>
      <w:r w:rsidR="001E2EFE" w:rsidRPr="001458D2">
        <w:rPr>
          <w:rFonts w:cs="Arial"/>
        </w:rPr>
        <w:t xml:space="preserve"> a legislative instrument </w:t>
      </w:r>
      <w:r>
        <w:rPr>
          <w:rFonts w:cs="Arial"/>
        </w:rPr>
        <w:t>may</w:t>
      </w:r>
      <w:r w:rsidR="00E066FD">
        <w:rPr>
          <w:rFonts w:cs="Arial"/>
        </w:rPr>
        <w:t>:</w:t>
      </w:r>
    </w:p>
    <w:p w14:paraId="2D023386" w14:textId="77777777" w:rsidR="00B02068" w:rsidRDefault="00B02068" w:rsidP="0068709C">
      <w:pPr>
        <w:widowControl/>
        <w:autoSpaceDE w:val="0"/>
        <w:autoSpaceDN w:val="0"/>
        <w:adjustRightInd w:val="0"/>
        <w:rPr>
          <w:rFonts w:cs="Arial"/>
        </w:rPr>
      </w:pPr>
    </w:p>
    <w:p w14:paraId="2791E0B0" w14:textId="19D0F0DD" w:rsidR="00B02068" w:rsidRPr="00E0099E" w:rsidRDefault="00B02068" w:rsidP="00E0099E">
      <w:pPr>
        <w:pStyle w:val="ListParagraph"/>
        <w:widowControl/>
        <w:numPr>
          <w:ilvl w:val="0"/>
          <w:numId w:val="16"/>
        </w:numPr>
        <w:autoSpaceDE w:val="0"/>
        <w:autoSpaceDN w:val="0"/>
        <w:adjustRightInd w:val="0"/>
        <w:rPr>
          <w:rFonts w:cs="Arial"/>
          <w:color w:val="222222"/>
          <w:szCs w:val="22"/>
        </w:rPr>
      </w:pPr>
      <w:r w:rsidRPr="00E0099E">
        <w:rPr>
          <w:rFonts w:cs="Arial"/>
          <w:color w:val="222222"/>
          <w:szCs w:val="22"/>
        </w:rPr>
        <w:t>apply, adopt or incorporate provisions of a Commonwealth disallowable legislative instrument, with or without modification, as in force at a particular time or as in force from time to time</w:t>
      </w:r>
      <w:r>
        <w:rPr>
          <w:rFonts w:cs="Arial"/>
          <w:color w:val="222222"/>
          <w:szCs w:val="22"/>
        </w:rPr>
        <w:t>; and</w:t>
      </w:r>
    </w:p>
    <w:p w14:paraId="51F28DB5" w14:textId="77777777" w:rsidR="00B02068" w:rsidRPr="00B02068" w:rsidRDefault="001E2EFE" w:rsidP="00E0099E">
      <w:pPr>
        <w:pStyle w:val="ListParagraph"/>
        <w:widowControl/>
        <w:numPr>
          <w:ilvl w:val="0"/>
          <w:numId w:val="16"/>
        </w:numPr>
        <w:autoSpaceDE w:val="0"/>
        <w:autoSpaceDN w:val="0"/>
        <w:adjustRightInd w:val="0"/>
        <w:rPr>
          <w:rFonts w:eastAsia="Calibri" w:cs="Arial"/>
          <w:bCs/>
          <w:szCs w:val="22"/>
          <w:lang w:val="en-AU" w:bidi="ar-SA"/>
        </w:rPr>
      </w:pPr>
      <w:r w:rsidRPr="00B02068">
        <w:rPr>
          <w:rFonts w:cs="Arial"/>
        </w:rPr>
        <w:t>incorporate any other document in writing which exists at the time the legislative instrument commences or a time before it</w:t>
      </w:r>
      <w:r w:rsidR="001458D2" w:rsidRPr="00B02068">
        <w:rPr>
          <w:rFonts w:cs="Arial"/>
        </w:rPr>
        <w:t>s commencement</w:t>
      </w:r>
      <w:r w:rsidR="001458D2" w:rsidRPr="00B02068">
        <w:rPr>
          <w:rFonts w:cs="Arial"/>
          <w:i/>
          <w:iCs/>
        </w:rPr>
        <w:t xml:space="preserve">. </w:t>
      </w:r>
      <w:r w:rsidR="00253FE9" w:rsidRPr="00B02068">
        <w:rPr>
          <w:rFonts w:cs="Arial"/>
          <w:i/>
          <w:iCs/>
        </w:rPr>
        <w:t xml:space="preserve"> </w:t>
      </w:r>
    </w:p>
    <w:p w14:paraId="69F24AC0" w14:textId="77777777" w:rsidR="00B02068" w:rsidRDefault="00B02068" w:rsidP="0068709C">
      <w:pPr>
        <w:widowControl/>
        <w:autoSpaceDE w:val="0"/>
        <w:autoSpaceDN w:val="0"/>
        <w:adjustRightInd w:val="0"/>
        <w:rPr>
          <w:rFonts w:eastAsia="Calibri" w:cs="Arial"/>
          <w:bCs/>
          <w:szCs w:val="22"/>
          <w:lang w:val="en-AU" w:bidi="ar-SA"/>
        </w:rPr>
      </w:pPr>
    </w:p>
    <w:p w14:paraId="5885C6F1" w14:textId="0595CCAF" w:rsidR="00F06AAF" w:rsidRDefault="00B02068" w:rsidP="00E0099E">
      <w:pPr>
        <w:widowControl/>
        <w:autoSpaceDE w:val="0"/>
        <w:autoSpaceDN w:val="0"/>
        <w:adjustRightInd w:val="0"/>
        <w:rPr>
          <w:rFonts w:eastAsia="Calibri" w:cs="Arial"/>
          <w:bCs/>
          <w:szCs w:val="22"/>
          <w:lang w:val="en-AU" w:bidi="ar-SA"/>
        </w:rPr>
      </w:pPr>
      <w:r>
        <w:rPr>
          <w:rFonts w:eastAsia="Calibri" w:cs="Arial"/>
          <w:bCs/>
          <w:szCs w:val="22"/>
          <w:lang w:val="en-AU" w:bidi="ar-SA"/>
        </w:rPr>
        <w:t>T</w:t>
      </w:r>
      <w:r w:rsidR="00F42842">
        <w:rPr>
          <w:rFonts w:eastAsia="Calibri" w:cs="Arial"/>
          <w:bCs/>
          <w:szCs w:val="22"/>
          <w:lang w:val="en-AU" w:bidi="ar-SA"/>
        </w:rPr>
        <w:t>he Code currently contain</w:t>
      </w:r>
      <w:r w:rsidR="00335980">
        <w:rPr>
          <w:rFonts w:eastAsia="Calibri" w:cs="Arial"/>
          <w:bCs/>
          <w:szCs w:val="22"/>
          <w:lang w:val="en-AU" w:bidi="ar-SA"/>
        </w:rPr>
        <w:t>s</w:t>
      </w:r>
      <w:r w:rsidR="00F42842">
        <w:rPr>
          <w:rFonts w:eastAsia="Calibri" w:cs="Arial"/>
          <w:bCs/>
          <w:szCs w:val="22"/>
          <w:lang w:val="en-AU" w:bidi="ar-SA"/>
        </w:rPr>
        <w:t xml:space="preserve"> provisions that incorporate</w:t>
      </w:r>
      <w:r w:rsidR="00E45728">
        <w:rPr>
          <w:rFonts w:eastAsia="Calibri" w:cs="Arial"/>
          <w:bCs/>
          <w:szCs w:val="22"/>
          <w:lang w:val="en-AU" w:bidi="ar-SA"/>
        </w:rPr>
        <w:t xml:space="preserve"> </w:t>
      </w:r>
      <w:r w:rsidR="001B219A">
        <w:rPr>
          <w:rFonts w:eastAsia="Calibri" w:cs="Arial"/>
          <w:bCs/>
          <w:szCs w:val="22"/>
          <w:lang w:val="en-AU" w:bidi="ar-SA"/>
        </w:rPr>
        <w:t xml:space="preserve">other </w:t>
      </w:r>
      <w:r>
        <w:rPr>
          <w:rFonts w:eastAsia="Calibri" w:cs="Arial"/>
          <w:bCs/>
          <w:szCs w:val="22"/>
          <w:lang w:val="en-AU" w:bidi="ar-SA"/>
        </w:rPr>
        <w:t xml:space="preserve">legislative instruments and other </w:t>
      </w:r>
      <w:r w:rsidR="001B219A">
        <w:rPr>
          <w:rFonts w:eastAsia="Calibri" w:cs="Arial"/>
          <w:bCs/>
          <w:szCs w:val="22"/>
          <w:lang w:val="en-AU" w:bidi="ar-SA"/>
        </w:rPr>
        <w:t>written documents by reference</w:t>
      </w:r>
      <w:r w:rsidR="00253FE9">
        <w:rPr>
          <w:rFonts w:eastAsia="Calibri" w:cs="Arial"/>
          <w:bCs/>
          <w:szCs w:val="22"/>
          <w:lang w:val="en-AU" w:bidi="ar-SA"/>
        </w:rPr>
        <w:t xml:space="preserve"> in accordance with </w:t>
      </w:r>
      <w:r w:rsidR="00E45728">
        <w:rPr>
          <w:rFonts w:eastAsia="Calibri" w:cs="Arial"/>
          <w:bCs/>
          <w:szCs w:val="22"/>
          <w:lang w:val="en-AU" w:bidi="ar-SA"/>
        </w:rPr>
        <w:t>the above</w:t>
      </w:r>
      <w:r w:rsidR="00253FE9">
        <w:rPr>
          <w:rFonts w:eastAsia="Calibri" w:cs="Arial"/>
          <w:bCs/>
          <w:szCs w:val="22"/>
          <w:lang w:val="en-AU" w:bidi="ar-SA"/>
        </w:rPr>
        <w:t xml:space="preserve"> </w:t>
      </w:r>
      <w:r>
        <w:rPr>
          <w:rFonts w:eastAsia="Calibri" w:cs="Arial"/>
          <w:bCs/>
          <w:szCs w:val="22"/>
          <w:lang w:val="en-AU" w:bidi="ar-SA"/>
        </w:rPr>
        <w:t>section</w:t>
      </w:r>
      <w:r w:rsidR="00253FE9">
        <w:rPr>
          <w:rFonts w:eastAsia="Calibri" w:cs="Arial"/>
          <w:bCs/>
          <w:szCs w:val="22"/>
          <w:lang w:val="en-AU" w:bidi="ar-SA"/>
        </w:rPr>
        <w:t>.</w:t>
      </w:r>
      <w:r w:rsidR="00335980">
        <w:rPr>
          <w:rFonts w:cs="Arial"/>
          <w:i/>
          <w:iCs/>
        </w:rPr>
        <w:t xml:space="preserve"> </w:t>
      </w:r>
      <w:r w:rsidR="00222C7F" w:rsidRPr="001E2EFE">
        <w:rPr>
          <w:rFonts w:eastAsia="Calibri" w:cs="Arial"/>
          <w:bCs/>
          <w:szCs w:val="22"/>
          <w:lang w:val="en-AU" w:bidi="ar-SA"/>
        </w:rPr>
        <w:t>The</w:t>
      </w:r>
      <w:r w:rsidR="00222C7F" w:rsidRPr="00222C7F">
        <w:rPr>
          <w:rFonts w:eastAsia="Calibri" w:cs="Arial"/>
          <w:bCs/>
          <w:szCs w:val="22"/>
          <w:lang w:val="en-AU" w:bidi="ar-SA"/>
        </w:rPr>
        <w:t xml:space="preserve"> draft variation prepared by the Authority </w:t>
      </w:r>
      <w:r w:rsidR="005315EC">
        <w:rPr>
          <w:rFonts w:eastAsia="Calibri" w:cs="Arial"/>
          <w:bCs/>
          <w:szCs w:val="22"/>
          <w:lang w:val="en-AU" w:bidi="ar-SA"/>
        </w:rPr>
        <w:t>would</w:t>
      </w:r>
      <w:r w:rsidR="00222C7F" w:rsidRPr="00222C7F">
        <w:rPr>
          <w:rFonts w:eastAsia="Calibri" w:cs="Arial"/>
          <w:bCs/>
          <w:szCs w:val="22"/>
          <w:lang w:val="en-AU" w:bidi="ar-SA"/>
        </w:rPr>
        <w:t xml:space="preserve"> </w:t>
      </w:r>
      <w:r w:rsidR="00BC551C">
        <w:rPr>
          <w:rFonts w:eastAsia="Calibri" w:cs="Arial"/>
          <w:bCs/>
          <w:szCs w:val="22"/>
          <w:lang w:val="en-AU" w:bidi="ar-SA"/>
        </w:rPr>
        <w:t xml:space="preserve">amend those provisions </w:t>
      </w:r>
      <w:r w:rsidR="00696F39">
        <w:rPr>
          <w:rFonts w:eastAsia="Calibri" w:cs="Arial"/>
          <w:bCs/>
          <w:szCs w:val="22"/>
          <w:lang w:val="en-AU" w:bidi="ar-SA"/>
        </w:rPr>
        <w:t>in</w:t>
      </w:r>
      <w:r w:rsidR="00696F39" w:rsidRPr="00222C7F">
        <w:rPr>
          <w:rFonts w:eastAsia="Calibri" w:cs="Arial"/>
          <w:bCs/>
          <w:szCs w:val="22"/>
          <w:lang w:val="en-AU" w:bidi="ar-SA"/>
        </w:rPr>
        <w:t xml:space="preserve"> </w:t>
      </w:r>
      <w:r w:rsidR="00696F39">
        <w:rPr>
          <w:rFonts w:eastAsia="Calibri" w:cs="Arial"/>
          <w:bCs/>
          <w:szCs w:val="22"/>
          <w:lang w:val="en-AU" w:bidi="ar-SA"/>
        </w:rPr>
        <w:t>the following standards</w:t>
      </w:r>
      <w:r w:rsidR="00696F39" w:rsidRPr="00222C7F">
        <w:rPr>
          <w:rFonts w:eastAsia="Calibri" w:cs="Arial"/>
          <w:bCs/>
          <w:szCs w:val="22"/>
          <w:lang w:val="en-AU" w:bidi="ar-SA"/>
        </w:rPr>
        <w:t xml:space="preserve"> of the Code</w:t>
      </w:r>
      <w:r w:rsidR="00696F39">
        <w:rPr>
          <w:rFonts w:eastAsia="Calibri" w:cs="Arial"/>
          <w:bCs/>
          <w:szCs w:val="22"/>
          <w:lang w:val="en-AU" w:bidi="ar-SA"/>
        </w:rPr>
        <w:t xml:space="preserve"> </w:t>
      </w:r>
      <w:r w:rsidR="00BC551C">
        <w:rPr>
          <w:rFonts w:eastAsia="Calibri" w:cs="Arial"/>
          <w:bCs/>
          <w:szCs w:val="22"/>
          <w:lang w:val="en-AU" w:bidi="ar-SA"/>
        </w:rPr>
        <w:t xml:space="preserve">to update </w:t>
      </w:r>
      <w:r w:rsidR="00696F39">
        <w:rPr>
          <w:rFonts w:eastAsia="Calibri" w:cs="Arial"/>
          <w:bCs/>
          <w:szCs w:val="22"/>
          <w:lang w:val="en-AU" w:bidi="ar-SA"/>
        </w:rPr>
        <w:t>certain</w:t>
      </w:r>
      <w:r w:rsidR="00BC551C">
        <w:rPr>
          <w:rFonts w:eastAsia="Calibri" w:cs="Arial"/>
          <w:bCs/>
          <w:szCs w:val="22"/>
          <w:lang w:val="en-AU" w:bidi="ar-SA"/>
        </w:rPr>
        <w:t xml:space="preserve"> references to </w:t>
      </w:r>
      <w:r w:rsidR="00335980">
        <w:rPr>
          <w:rFonts w:eastAsia="Calibri" w:cs="Arial"/>
          <w:bCs/>
          <w:szCs w:val="22"/>
          <w:lang w:val="en-AU" w:bidi="ar-SA"/>
        </w:rPr>
        <w:t xml:space="preserve">an </w:t>
      </w:r>
      <w:r w:rsidR="00696F39">
        <w:rPr>
          <w:rFonts w:eastAsia="Calibri" w:cs="Arial"/>
          <w:bCs/>
          <w:szCs w:val="22"/>
          <w:lang w:val="en-AU" w:bidi="ar-SA"/>
        </w:rPr>
        <w:t>incorporated</w:t>
      </w:r>
      <w:r w:rsidR="00BC551C" w:rsidRPr="00222C7F">
        <w:rPr>
          <w:rFonts w:eastAsia="Calibri" w:cs="Arial"/>
          <w:bCs/>
          <w:szCs w:val="22"/>
          <w:lang w:val="en-AU" w:bidi="ar-SA"/>
        </w:rPr>
        <w:t xml:space="preserve"> </w:t>
      </w:r>
      <w:r w:rsidR="00E45728">
        <w:rPr>
          <w:rFonts w:eastAsia="Calibri" w:cs="Arial"/>
          <w:bCs/>
          <w:szCs w:val="22"/>
          <w:lang w:val="en-AU" w:bidi="ar-SA"/>
        </w:rPr>
        <w:t xml:space="preserve">instrument or </w:t>
      </w:r>
      <w:r w:rsidR="00222C7F" w:rsidRPr="00222C7F">
        <w:rPr>
          <w:rFonts w:eastAsia="Calibri" w:cs="Arial"/>
          <w:bCs/>
          <w:szCs w:val="22"/>
          <w:lang w:val="en-AU" w:bidi="ar-SA"/>
        </w:rPr>
        <w:t xml:space="preserve">document. </w:t>
      </w:r>
      <w:r w:rsidR="0068709C">
        <w:rPr>
          <w:rFonts w:eastAsia="Calibri" w:cs="Arial"/>
          <w:color w:val="000000"/>
          <w:szCs w:val="22"/>
          <w:lang w:bidi="ar-SA"/>
        </w:rPr>
        <w:t>This reference by incorporation is consistent with the current</w:t>
      </w:r>
      <w:r w:rsidR="0068709C">
        <w:rPr>
          <w:rFonts w:eastAsia="Calibri" w:cs="Arial"/>
          <w:bCs/>
          <w:color w:val="000000"/>
          <w:szCs w:val="22"/>
          <w:lang w:bidi="ar-SA"/>
        </w:rPr>
        <w:t xml:space="preserve"> </w:t>
      </w:r>
      <w:r w:rsidR="0068709C">
        <w:rPr>
          <w:rFonts w:eastAsia="Calibri" w:cs="Arial"/>
          <w:color w:val="000000"/>
          <w:szCs w:val="22"/>
          <w:lang w:bidi="ar-SA"/>
        </w:rPr>
        <w:t>practice in the Code</w:t>
      </w:r>
      <w:r w:rsidR="0068709C">
        <w:rPr>
          <w:rFonts w:eastAsia="Calibri" w:cs="Arial"/>
          <w:bCs/>
          <w:color w:val="000000"/>
          <w:szCs w:val="22"/>
          <w:lang w:bidi="ar-SA"/>
        </w:rPr>
        <w:t>.</w:t>
      </w:r>
    </w:p>
    <w:p w14:paraId="64FC6E0B" w14:textId="77777777" w:rsidR="00F06AAF" w:rsidRPr="00E0099E" w:rsidRDefault="00F06AAF" w:rsidP="00F06AAF">
      <w:pPr>
        <w:widowControl/>
        <w:autoSpaceDE w:val="0"/>
        <w:autoSpaceDN w:val="0"/>
        <w:adjustRightInd w:val="0"/>
        <w:jc w:val="both"/>
        <w:rPr>
          <w:rFonts w:cs="Arial"/>
          <w:i/>
          <w:iCs/>
        </w:rPr>
      </w:pPr>
    </w:p>
    <w:p w14:paraId="04E43FD1" w14:textId="63D609C5" w:rsidR="00494C06" w:rsidRDefault="003052D2" w:rsidP="00222C7F">
      <w:pPr>
        <w:widowControl/>
        <w:autoSpaceDE w:val="0"/>
        <w:autoSpaceDN w:val="0"/>
        <w:adjustRightInd w:val="0"/>
        <w:rPr>
          <w:rFonts w:eastAsia="Calibri" w:cs="Arial"/>
          <w:bCs/>
          <w:szCs w:val="22"/>
          <w:lang w:val="en-AU" w:bidi="ar-SA"/>
        </w:rPr>
      </w:pPr>
      <w:r>
        <w:rPr>
          <w:rFonts w:eastAsia="Calibri" w:cs="Arial"/>
          <w:bCs/>
          <w:i/>
          <w:iCs/>
          <w:szCs w:val="22"/>
          <w:lang w:val="en-AU" w:bidi="ar-SA"/>
        </w:rPr>
        <w:t>Standard 1.1.1</w:t>
      </w:r>
    </w:p>
    <w:p w14:paraId="2541B86A" w14:textId="654C78EC" w:rsidR="003052D2" w:rsidRDefault="003052D2" w:rsidP="00222C7F">
      <w:pPr>
        <w:widowControl/>
        <w:autoSpaceDE w:val="0"/>
        <w:autoSpaceDN w:val="0"/>
        <w:adjustRightInd w:val="0"/>
        <w:rPr>
          <w:rFonts w:eastAsia="Calibri" w:cs="Arial"/>
          <w:bCs/>
          <w:szCs w:val="22"/>
          <w:lang w:val="en-AU" w:bidi="ar-SA"/>
        </w:rPr>
      </w:pPr>
    </w:p>
    <w:p w14:paraId="38403CA0" w14:textId="4648D5C7" w:rsidR="00100461" w:rsidRDefault="007A6406" w:rsidP="00100461">
      <w:pPr>
        <w:widowControl/>
        <w:autoSpaceDE w:val="0"/>
        <w:autoSpaceDN w:val="0"/>
        <w:adjustRightInd w:val="0"/>
        <w:rPr>
          <w:rFonts w:cs="Arial"/>
          <w:color w:val="000000"/>
          <w:szCs w:val="22"/>
          <w:shd w:val="clear" w:color="auto" w:fill="FFFFFF"/>
        </w:rPr>
      </w:pPr>
      <w:r w:rsidRPr="00957D72">
        <w:rPr>
          <w:rFonts w:eastAsia="Calibri" w:cs="Arial"/>
          <w:bCs/>
          <w:szCs w:val="22"/>
          <w:lang w:val="en-AU" w:bidi="ar-SA"/>
        </w:rPr>
        <w:t xml:space="preserve">A number of Code provisions currently </w:t>
      </w:r>
      <w:r w:rsidR="008B6C95" w:rsidRPr="00957D72">
        <w:rPr>
          <w:rFonts w:eastAsia="Calibri" w:cs="Arial"/>
          <w:bCs/>
          <w:szCs w:val="22"/>
          <w:lang w:val="en-AU" w:bidi="ar-SA"/>
        </w:rPr>
        <w:t xml:space="preserve">refer to and </w:t>
      </w:r>
      <w:r w:rsidRPr="00957D72">
        <w:rPr>
          <w:rFonts w:eastAsia="Calibri" w:cs="Arial"/>
          <w:bCs/>
          <w:szCs w:val="22"/>
          <w:lang w:val="en-AU" w:bidi="ar-SA"/>
        </w:rPr>
        <w:t xml:space="preserve">incorporate by reference the </w:t>
      </w:r>
      <w:r w:rsidR="008B6C95" w:rsidRPr="00957D72">
        <w:rPr>
          <w:rFonts w:eastAsia="Calibri" w:cs="Arial"/>
          <w:bCs/>
          <w:szCs w:val="22"/>
          <w:lang w:val="en-AU" w:bidi="ar-SA"/>
        </w:rPr>
        <w:t xml:space="preserve">United States Code of Federal Regulation </w:t>
      </w:r>
      <w:r w:rsidR="003052D2" w:rsidRPr="00957D72">
        <w:rPr>
          <w:rFonts w:eastAsia="Calibri" w:cs="Arial"/>
          <w:bCs/>
          <w:szCs w:val="22"/>
          <w:lang w:val="en-AU" w:bidi="ar-SA"/>
        </w:rPr>
        <w:t xml:space="preserve">(CFR). </w:t>
      </w:r>
      <w:r w:rsidR="00957D72">
        <w:rPr>
          <w:rFonts w:eastAsia="Calibri" w:cs="Arial"/>
          <w:bCs/>
          <w:szCs w:val="22"/>
          <w:lang w:val="en-AU" w:bidi="ar-SA"/>
        </w:rPr>
        <w:t>For this purpose, pa</w:t>
      </w:r>
      <w:r w:rsidR="003052D2" w:rsidRPr="00957D72">
        <w:rPr>
          <w:rFonts w:eastAsia="Calibri" w:cs="Arial"/>
          <w:bCs/>
          <w:szCs w:val="22"/>
          <w:lang w:val="en-AU" w:bidi="ar-SA"/>
        </w:rPr>
        <w:t>ragraph 1.1.1—5</w:t>
      </w:r>
      <w:r w:rsidR="00913C83">
        <w:rPr>
          <w:rFonts w:eastAsia="Calibri" w:cs="Arial"/>
          <w:bCs/>
          <w:szCs w:val="22"/>
          <w:lang w:val="en-AU" w:bidi="ar-SA"/>
        </w:rPr>
        <w:t>(1)</w:t>
      </w:r>
      <w:r w:rsidR="003052D2" w:rsidRPr="00957D72">
        <w:rPr>
          <w:rFonts w:eastAsia="Calibri" w:cs="Arial"/>
          <w:bCs/>
          <w:szCs w:val="22"/>
          <w:lang w:val="en-AU" w:bidi="ar-SA"/>
        </w:rPr>
        <w:t xml:space="preserve">(b) </w:t>
      </w:r>
      <w:r w:rsidR="00957D72" w:rsidRPr="00957D72">
        <w:rPr>
          <w:rFonts w:eastAsia="Calibri" w:cs="Arial"/>
          <w:bCs/>
          <w:szCs w:val="22"/>
          <w:lang w:val="en-AU" w:bidi="ar-SA"/>
        </w:rPr>
        <w:t xml:space="preserve">of the Code states that a </w:t>
      </w:r>
      <w:r w:rsidR="00957D72" w:rsidRPr="00E0099E">
        <w:rPr>
          <w:rFonts w:cs="Arial"/>
          <w:color w:val="000000"/>
          <w:szCs w:val="22"/>
          <w:shd w:val="clear" w:color="auto" w:fill="FFFFFF"/>
        </w:rPr>
        <w:t>reference in the Code to the Code of Federal Regulations, or CFR, is a reference to the 2019 compilation of the United States Code of Federal Regulations</w:t>
      </w:r>
      <w:r w:rsidR="00957D72">
        <w:rPr>
          <w:rFonts w:eastAsia="Calibri" w:cs="Arial"/>
          <w:bCs/>
          <w:szCs w:val="22"/>
          <w:lang w:val="en-AU" w:bidi="ar-SA"/>
        </w:rPr>
        <w:t xml:space="preserve">. This provision is outdated. </w:t>
      </w:r>
      <w:r w:rsidR="00100461">
        <w:t>T</w:t>
      </w:r>
      <w:r w:rsidR="00100461" w:rsidRPr="00E8160B">
        <w:t>he latest compilation</w:t>
      </w:r>
      <w:r w:rsidR="00957D72">
        <w:rPr>
          <w:rFonts w:eastAsia="Calibri" w:cs="Arial"/>
          <w:bCs/>
          <w:szCs w:val="22"/>
          <w:lang w:val="en-AU" w:bidi="ar-SA"/>
        </w:rPr>
        <w:t xml:space="preserve"> </w:t>
      </w:r>
      <w:r w:rsidR="00100461" w:rsidRPr="00E8160B">
        <w:t xml:space="preserve">was </w:t>
      </w:r>
      <w:r w:rsidR="00957D72">
        <w:t>published by the United States Government</w:t>
      </w:r>
      <w:r w:rsidR="00100461">
        <w:t xml:space="preserve"> </w:t>
      </w:r>
      <w:r w:rsidR="00100461" w:rsidRPr="00E8160B">
        <w:t>in 2022</w:t>
      </w:r>
      <w:r w:rsidR="002B521B">
        <w:t xml:space="preserve">. The draft variation would amend </w:t>
      </w:r>
      <w:r w:rsidR="002B521B">
        <w:rPr>
          <w:rFonts w:eastAsia="Calibri" w:cs="Arial"/>
          <w:bCs/>
          <w:szCs w:val="22"/>
          <w:lang w:val="en-AU" w:bidi="ar-SA"/>
        </w:rPr>
        <w:t>pa</w:t>
      </w:r>
      <w:r w:rsidR="002B521B" w:rsidRPr="00957D72">
        <w:rPr>
          <w:rFonts w:eastAsia="Calibri" w:cs="Arial"/>
          <w:bCs/>
          <w:szCs w:val="22"/>
          <w:lang w:val="en-AU" w:bidi="ar-SA"/>
        </w:rPr>
        <w:t>ragraph 1.1.1—5</w:t>
      </w:r>
      <w:r w:rsidR="008A2013">
        <w:rPr>
          <w:rFonts w:eastAsia="Calibri" w:cs="Arial"/>
          <w:bCs/>
          <w:szCs w:val="22"/>
          <w:lang w:val="en-AU" w:bidi="ar-SA"/>
        </w:rPr>
        <w:t>(1)</w:t>
      </w:r>
      <w:r w:rsidR="002B521B" w:rsidRPr="00957D72">
        <w:rPr>
          <w:rFonts w:eastAsia="Calibri" w:cs="Arial"/>
          <w:bCs/>
          <w:szCs w:val="22"/>
          <w:lang w:val="en-AU" w:bidi="ar-SA"/>
        </w:rPr>
        <w:t>(b</w:t>
      </w:r>
      <w:r w:rsidR="002B521B">
        <w:rPr>
          <w:rFonts w:eastAsia="Calibri" w:cs="Arial"/>
          <w:bCs/>
          <w:szCs w:val="22"/>
          <w:lang w:val="en-AU" w:bidi="ar-SA"/>
        </w:rPr>
        <w:t xml:space="preserve">) to refer instead to the 2022 </w:t>
      </w:r>
      <w:r w:rsidR="002B521B" w:rsidRPr="00C64885">
        <w:rPr>
          <w:rFonts w:cs="Arial"/>
          <w:color w:val="000000"/>
          <w:szCs w:val="22"/>
          <w:shd w:val="clear" w:color="auto" w:fill="FFFFFF"/>
        </w:rPr>
        <w:t>compilation</w:t>
      </w:r>
      <w:r w:rsidR="002B521B">
        <w:rPr>
          <w:rFonts w:cs="Arial"/>
          <w:color w:val="000000"/>
          <w:szCs w:val="22"/>
          <w:shd w:val="clear" w:color="auto" w:fill="FFFFFF"/>
        </w:rPr>
        <w:t>.</w:t>
      </w:r>
    </w:p>
    <w:p w14:paraId="77466591" w14:textId="77777777" w:rsidR="002B521B" w:rsidRDefault="002B521B" w:rsidP="00100461">
      <w:pPr>
        <w:widowControl/>
        <w:autoSpaceDE w:val="0"/>
        <w:autoSpaceDN w:val="0"/>
        <w:adjustRightInd w:val="0"/>
        <w:rPr>
          <w:rFonts w:cs="Arial"/>
          <w:color w:val="000000"/>
          <w:szCs w:val="22"/>
          <w:shd w:val="clear" w:color="auto" w:fill="FFFFFF"/>
        </w:rPr>
      </w:pPr>
    </w:p>
    <w:p w14:paraId="1942C0BC" w14:textId="2C0D5CCF" w:rsidR="002B521B" w:rsidRDefault="002B521B" w:rsidP="00100461">
      <w:pPr>
        <w:widowControl/>
        <w:autoSpaceDE w:val="0"/>
        <w:autoSpaceDN w:val="0"/>
        <w:adjustRightInd w:val="0"/>
        <w:rPr>
          <w:rFonts w:eastAsia="Calibri" w:cs="Arial"/>
          <w:bCs/>
          <w:szCs w:val="22"/>
          <w:lang w:val="en-AU" w:bidi="ar-SA"/>
        </w:rPr>
      </w:pPr>
      <w:r>
        <w:rPr>
          <w:rFonts w:cs="Arial"/>
          <w:color w:val="000000"/>
          <w:szCs w:val="22"/>
          <w:shd w:val="clear" w:color="auto" w:fill="FFFFFF"/>
        </w:rPr>
        <w:t xml:space="preserve">A copy of the 2022 </w:t>
      </w:r>
      <w:r w:rsidR="006440C3">
        <w:rPr>
          <w:rFonts w:cs="Arial"/>
          <w:color w:val="000000"/>
          <w:szCs w:val="22"/>
          <w:shd w:val="clear" w:color="auto" w:fill="FFFFFF"/>
        </w:rPr>
        <w:t>compilation of</w:t>
      </w:r>
      <w:r w:rsidR="006440C3" w:rsidRPr="00C64885">
        <w:rPr>
          <w:rFonts w:cs="Arial"/>
          <w:color w:val="000000"/>
          <w:szCs w:val="22"/>
          <w:shd w:val="clear" w:color="auto" w:fill="FFFFFF"/>
        </w:rPr>
        <w:t xml:space="preserve"> United States Code of Federal Regulations</w:t>
      </w:r>
      <w:r w:rsidR="006440C3">
        <w:rPr>
          <w:rFonts w:cs="Arial"/>
          <w:color w:val="000000"/>
          <w:szCs w:val="22"/>
          <w:shd w:val="clear" w:color="auto" w:fill="FFFFFF"/>
        </w:rPr>
        <w:t xml:space="preserve"> is </w:t>
      </w:r>
      <w:r w:rsidR="00B35E34">
        <w:rPr>
          <w:rFonts w:cs="Arial"/>
          <w:color w:val="000000"/>
          <w:szCs w:val="22"/>
          <w:shd w:val="clear" w:color="auto" w:fill="FFFFFF"/>
        </w:rPr>
        <w:t xml:space="preserve">freely and </w:t>
      </w:r>
      <w:r w:rsidR="00CE5094">
        <w:rPr>
          <w:rFonts w:cs="Arial"/>
          <w:color w:val="000000"/>
          <w:szCs w:val="22"/>
          <w:shd w:val="clear" w:color="auto" w:fill="FFFFFF"/>
        </w:rPr>
        <w:t xml:space="preserve">publicly </w:t>
      </w:r>
      <w:r w:rsidR="006440C3">
        <w:rPr>
          <w:rFonts w:cs="Arial"/>
          <w:color w:val="000000"/>
          <w:szCs w:val="22"/>
          <w:shd w:val="clear" w:color="auto" w:fill="FFFFFF"/>
        </w:rPr>
        <w:t xml:space="preserve">available online at </w:t>
      </w:r>
      <w:hyperlink r:id="rId30" w:history="1">
        <w:r w:rsidR="00CE5094" w:rsidRPr="00495F5A">
          <w:rPr>
            <w:rStyle w:val="Hyperlink"/>
            <w:rFonts w:cs="Arial"/>
            <w:szCs w:val="22"/>
            <w:shd w:val="clear" w:color="auto" w:fill="FFFFFF"/>
          </w:rPr>
          <w:t>https://www.govinfo.gov/app/collection/cfr</w:t>
        </w:r>
      </w:hyperlink>
      <w:r w:rsidR="00CE5094">
        <w:rPr>
          <w:rFonts w:cs="Arial"/>
          <w:color w:val="000000"/>
          <w:szCs w:val="22"/>
          <w:shd w:val="clear" w:color="auto" w:fill="FFFFFF"/>
        </w:rPr>
        <w:t xml:space="preserve"> </w:t>
      </w:r>
    </w:p>
    <w:p w14:paraId="137B86CC" w14:textId="4070DD1D" w:rsidR="003052D2" w:rsidRDefault="003052D2" w:rsidP="00222C7F">
      <w:pPr>
        <w:widowControl/>
        <w:autoSpaceDE w:val="0"/>
        <w:autoSpaceDN w:val="0"/>
        <w:adjustRightInd w:val="0"/>
        <w:rPr>
          <w:rFonts w:eastAsia="Calibri" w:cs="Arial"/>
          <w:bCs/>
          <w:szCs w:val="22"/>
          <w:lang w:val="en-AU" w:bidi="ar-SA"/>
        </w:rPr>
      </w:pPr>
    </w:p>
    <w:p w14:paraId="7CF3F905" w14:textId="7A829779" w:rsidR="00300885" w:rsidRDefault="00300885" w:rsidP="00300885">
      <w:pPr>
        <w:widowControl/>
        <w:autoSpaceDE w:val="0"/>
        <w:autoSpaceDN w:val="0"/>
        <w:adjustRightInd w:val="0"/>
        <w:rPr>
          <w:rFonts w:eastAsia="Calibri" w:cs="Arial"/>
          <w:bCs/>
          <w:szCs w:val="22"/>
          <w:lang w:val="en-AU" w:bidi="ar-SA"/>
        </w:rPr>
      </w:pPr>
      <w:r>
        <w:rPr>
          <w:rFonts w:eastAsia="Calibri" w:cs="Arial"/>
          <w:bCs/>
          <w:i/>
          <w:iCs/>
          <w:szCs w:val="22"/>
          <w:lang w:val="en-AU" w:bidi="ar-SA"/>
        </w:rPr>
        <w:t>Standard 1.1.2</w:t>
      </w:r>
    </w:p>
    <w:p w14:paraId="44DF8364" w14:textId="7EFA06D2" w:rsidR="003052D2" w:rsidRDefault="003052D2" w:rsidP="00222C7F">
      <w:pPr>
        <w:widowControl/>
        <w:autoSpaceDE w:val="0"/>
        <w:autoSpaceDN w:val="0"/>
        <w:adjustRightInd w:val="0"/>
        <w:rPr>
          <w:rFonts w:eastAsia="Calibri" w:cs="Arial"/>
          <w:bCs/>
          <w:szCs w:val="22"/>
          <w:lang w:val="en-AU" w:bidi="ar-SA"/>
        </w:rPr>
      </w:pPr>
    </w:p>
    <w:p w14:paraId="5288F067" w14:textId="4805F40C" w:rsidR="008B56E8" w:rsidRDefault="0005481C" w:rsidP="008B56E8">
      <w:pPr>
        <w:widowControl/>
        <w:autoSpaceDE w:val="0"/>
        <w:autoSpaceDN w:val="0"/>
        <w:adjustRightInd w:val="0"/>
        <w:rPr>
          <w:rFonts w:cs="Arial"/>
          <w:color w:val="000000"/>
          <w:szCs w:val="22"/>
          <w:shd w:val="clear" w:color="auto" w:fill="FFFFFF"/>
        </w:rPr>
      </w:pPr>
      <w:r>
        <w:rPr>
          <w:rFonts w:eastAsia="Calibri" w:cs="Arial"/>
          <w:bCs/>
          <w:szCs w:val="22"/>
          <w:lang w:val="en-AU" w:bidi="ar-SA"/>
        </w:rPr>
        <w:t>The definition of ‘</w:t>
      </w:r>
      <w:r w:rsidRPr="0005481C">
        <w:rPr>
          <w:rFonts w:eastAsia="Calibri" w:cs="Arial"/>
          <w:bCs/>
          <w:szCs w:val="22"/>
          <w:lang w:val="en-AU" w:bidi="ar-SA"/>
        </w:rPr>
        <w:t>permitted flavouring substance</w:t>
      </w:r>
      <w:r>
        <w:rPr>
          <w:rFonts w:eastAsia="Calibri" w:cs="Arial"/>
          <w:bCs/>
          <w:szCs w:val="22"/>
          <w:lang w:val="en-AU" w:bidi="ar-SA"/>
        </w:rPr>
        <w:t>’ in s</w:t>
      </w:r>
      <w:r w:rsidRPr="0005481C">
        <w:rPr>
          <w:rFonts w:eastAsia="Calibri" w:cs="Arial"/>
          <w:bCs/>
          <w:szCs w:val="22"/>
          <w:lang w:val="en-AU" w:bidi="ar-SA"/>
        </w:rPr>
        <w:t>ubsection 1.1.2—2(3)</w:t>
      </w:r>
      <w:r>
        <w:rPr>
          <w:rFonts w:eastAsia="Calibri" w:cs="Arial"/>
          <w:bCs/>
          <w:szCs w:val="22"/>
          <w:lang w:val="en-AU" w:bidi="ar-SA"/>
        </w:rPr>
        <w:t xml:space="preserve"> </w:t>
      </w:r>
      <w:r w:rsidR="00D52503">
        <w:rPr>
          <w:rFonts w:eastAsia="Calibri" w:cs="Arial"/>
          <w:bCs/>
          <w:szCs w:val="22"/>
          <w:lang w:val="en-AU" w:bidi="ar-SA"/>
        </w:rPr>
        <w:t xml:space="preserve">of the Code incorporates </w:t>
      </w:r>
      <w:r w:rsidR="000C52AC">
        <w:rPr>
          <w:rFonts w:eastAsia="Calibri" w:cs="Arial"/>
          <w:bCs/>
          <w:szCs w:val="22"/>
          <w:lang w:val="en-AU" w:bidi="ar-SA"/>
        </w:rPr>
        <w:t>certain publications</w:t>
      </w:r>
      <w:r w:rsidR="00CA6C15">
        <w:rPr>
          <w:rFonts w:eastAsia="Calibri" w:cs="Arial"/>
          <w:bCs/>
          <w:szCs w:val="22"/>
          <w:lang w:val="en-AU" w:bidi="ar-SA"/>
        </w:rPr>
        <w:t xml:space="preserve"> by reference. These include </w:t>
      </w:r>
      <w:r w:rsidR="00B97746">
        <w:rPr>
          <w:rFonts w:eastAsia="Calibri" w:cs="Arial"/>
          <w:bCs/>
          <w:szCs w:val="22"/>
          <w:lang w:val="en-AU" w:bidi="ar-SA"/>
        </w:rPr>
        <w:t>Edition 29 (2019)</w:t>
      </w:r>
      <w:r w:rsidR="0098451B">
        <w:rPr>
          <w:rFonts w:eastAsia="Calibri" w:cs="Arial"/>
          <w:bCs/>
          <w:szCs w:val="22"/>
          <w:lang w:val="en-AU" w:bidi="ar-SA"/>
        </w:rPr>
        <w:t xml:space="preserve"> of the</w:t>
      </w:r>
      <w:r w:rsidR="00CA6C15">
        <w:rPr>
          <w:rFonts w:eastAsia="Calibri" w:cs="Arial"/>
          <w:bCs/>
          <w:szCs w:val="22"/>
          <w:lang w:val="en-AU" w:bidi="ar-SA"/>
        </w:rPr>
        <w:t xml:space="preserve"> </w:t>
      </w:r>
      <w:r w:rsidR="000C52AC" w:rsidRPr="000C52AC">
        <w:rPr>
          <w:rFonts w:eastAsia="Calibri" w:cs="Arial"/>
          <w:bCs/>
          <w:szCs w:val="22"/>
          <w:lang w:val="en-AU" w:bidi="ar-SA"/>
        </w:rPr>
        <w:t>Generally Recognised as Safe (GRAS) lists of flavouring substances published by the Flavour and Extract Manufacturers’ Association of the United States</w:t>
      </w:r>
      <w:r w:rsidR="009B0F86">
        <w:rPr>
          <w:rFonts w:eastAsia="Calibri" w:cs="Arial"/>
          <w:bCs/>
          <w:szCs w:val="22"/>
          <w:lang w:val="en-AU" w:bidi="ar-SA"/>
        </w:rPr>
        <w:t xml:space="preserve"> (FEMA)</w:t>
      </w:r>
      <w:r w:rsidR="0098451B">
        <w:rPr>
          <w:rFonts w:eastAsia="Calibri" w:cs="Arial"/>
          <w:bCs/>
          <w:szCs w:val="22"/>
          <w:lang w:val="en-AU" w:bidi="ar-SA"/>
        </w:rPr>
        <w:t>.</w:t>
      </w:r>
      <w:r w:rsidR="008B56E8">
        <w:rPr>
          <w:rFonts w:eastAsia="Calibri" w:cs="Arial"/>
          <w:bCs/>
          <w:szCs w:val="22"/>
          <w:lang w:val="en-AU" w:bidi="ar-SA"/>
        </w:rPr>
        <w:t xml:space="preserve"> This reference is now outdated as </w:t>
      </w:r>
      <w:r w:rsidR="009B0F86">
        <w:rPr>
          <w:rFonts w:eastAsia="Calibri" w:cs="Arial"/>
          <w:bCs/>
          <w:szCs w:val="22"/>
          <w:lang w:val="en-AU" w:bidi="ar-SA"/>
        </w:rPr>
        <w:t>FEMA</w:t>
      </w:r>
      <w:r w:rsidR="008B56E8">
        <w:rPr>
          <w:rFonts w:eastAsia="Calibri" w:cs="Arial"/>
          <w:bCs/>
          <w:szCs w:val="22"/>
          <w:lang w:val="en-AU" w:bidi="ar-SA"/>
        </w:rPr>
        <w:t xml:space="preserve"> has published </w:t>
      </w:r>
      <w:r w:rsidR="008B56E8">
        <w:t>Edition 30 (</w:t>
      </w:r>
      <w:r w:rsidR="008B56E8" w:rsidRPr="003E0AA3">
        <w:t>20</w:t>
      </w:r>
      <w:r w:rsidR="008B56E8">
        <w:t>22)</w:t>
      </w:r>
      <w:r w:rsidR="008B56E8" w:rsidRPr="003E0AA3">
        <w:t xml:space="preserve"> of </w:t>
      </w:r>
      <w:r w:rsidR="008B56E8">
        <w:t>its</w:t>
      </w:r>
      <w:r w:rsidR="008B56E8" w:rsidRPr="003E0AA3">
        <w:t xml:space="preserve"> GRAS lists of flavouring substances</w:t>
      </w:r>
      <w:r w:rsidR="008B56E8">
        <w:t xml:space="preserve">. The draft variation would amend </w:t>
      </w:r>
      <w:r w:rsidR="00356626">
        <w:rPr>
          <w:rFonts w:eastAsia="Calibri" w:cs="Arial"/>
          <w:bCs/>
          <w:szCs w:val="22"/>
          <w:lang w:val="en-AU" w:bidi="ar-SA"/>
        </w:rPr>
        <w:t>the definition of ‘</w:t>
      </w:r>
      <w:r w:rsidR="00356626" w:rsidRPr="0005481C">
        <w:rPr>
          <w:rFonts w:eastAsia="Calibri" w:cs="Arial"/>
          <w:bCs/>
          <w:szCs w:val="22"/>
          <w:lang w:val="en-AU" w:bidi="ar-SA"/>
        </w:rPr>
        <w:t>permitted flavouring substance</w:t>
      </w:r>
      <w:r w:rsidR="00356626">
        <w:rPr>
          <w:rFonts w:eastAsia="Calibri" w:cs="Arial"/>
          <w:bCs/>
          <w:szCs w:val="22"/>
          <w:lang w:val="en-AU" w:bidi="ar-SA"/>
        </w:rPr>
        <w:t>’</w:t>
      </w:r>
      <w:r w:rsidR="008B56E8">
        <w:rPr>
          <w:rFonts w:eastAsia="Calibri" w:cs="Arial"/>
          <w:bCs/>
          <w:szCs w:val="22"/>
          <w:lang w:val="en-AU" w:bidi="ar-SA"/>
        </w:rPr>
        <w:t xml:space="preserve"> to refer instead to the 2022 </w:t>
      </w:r>
      <w:r w:rsidR="00356626">
        <w:rPr>
          <w:rFonts w:cs="Arial"/>
          <w:color w:val="000000"/>
          <w:szCs w:val="22"/>
          <w:shd w:val="clear" w:color="auto" w:fill="FFFFFF"/>
        </w:rPr>
        <w:t>Edition.</w:t>
      </w:r>
    </w:p>
    <w:p w14:paraId="0C5F9D24" w14:textId="77777777" w:rsidR="00CF2CC5" w:rsidRDefault="00CF2CC5" w:rsidP="008B56E8">
      <w:pPr>
        <w:widowControl/>
        <w:autoSpaceDE w:val="0"/>
        <w:autoSpaceDN w:val="0"/>
        <w:adjustRightInd w:val="0"/>
        <w:rPr>
          <w:rFonts w:cs="Arial"/>
          <w:color w:val="000000"/>
          <w:szCs w:val="22"/>
          <w:shd w:val="clear" w:color="auto" w:fill="FFFFFF"/>
        </w:rPr>
      </w:pPr>
    </w:p>
    <w:p w14:paraId="2876E6AC" w14:textId="6D856598" w:rsidR="00CF2CC5" w:rsidRDefault="00CF2CC5" w:rsidP="00CF2CC5">
      <w:pPr>
        <w:widowControl/>
        <w:autoSpaceDE w:val="0"/>
        <w:autoSpaceDN w:val="0"/>
        <w:adjustRightInd w:val="0"/>
        <w:rPr>
          <w:rFonts w:cs="Arial"/>
          <w:color w:val="000000"/>
          <w:szCs w:val="22"/>
          <w:shd w:val="clear" w:color="auto" w:fill="FFFFFF"/>
        </w:rPr>
      </w:pPr>
      <w:r>
        <w:rPr>
          <w:rFonts w:cs="Arial"/>
          <w:color w:val="000000"/>
          <w:szCs w:val="22"/>
          <w:shd w:val="clear" w:color="auto" w:fill="FFFFFF"/>
        </w:rPr>
        <w:t xml:space="preserve">A copy of Edition 30 (2022) of </w:t>
      </w:r>
      <w:r w:rsidR="009B0F86">
        <w:rPr>
          <w:rFonts w:cs="Arial"/>
          <w:color w:val="000000"/>
          <w:szCs w:val="22"/>
          <w:shd w:val="clear" w:color="auto" w:fill="FFFFFF"/>
        </w:rPr>
        <w:t>FEMA’s</w:t>
      </w:r>
      <w:r>
        <w:rPr>
          <w:rFonts w:cs="Arial"/>
          <w:color w:val="000000"/>
          <w:szCs w:val="22"/>
          <w:shd w:val="clear" w:color="auto" w:fill="FFFFFF"/>
        </w:rPr>
        <w:t xml:space="preserve"> </w:t>
      </w:r>
      <w:r w:rsidRPr="003E0AA3">
        <w:t>GRAS lists of flavouring substances</w:t>
      </w:r>
      <w:r>
        <w:t xml:space="preserve"> </w:t>
      </w:r>
      <w:r>
        <w:rPr>
          <w:rFonts w:cs="Arial"/>
          <w:color w:val="000000"/>
          <w:szCs w:val="22"/>
          <w:shd w:val="clear" w:color="auto" w:fill="FFFFFF"/>
        </w:rPr>
        <w:t xml:space="preserve">is </w:t>
      </w:r>
      <w:r w:rsidR="00B35E34">
        <w:rPr>
          <w:rFonts w:cs="Arial"/>
          <w:color w:val="000000"/>
          <w:szCs w:val="22"/>
          <w:shd w:val="clear" w:color="auto" w:fill="FFFFFF"/>
        </w:rPr>
        <w:t xml:space="preserve">freely and </w:t>
      </w:r>
      <w:r>
        <w:rPr>
          <w:rFonts w:cs="Arial"/>
          <w:color w:val="000000"/>
          <w:szCs w:val="22"/>
          <w:shd w:val="clear" w:color="auto" w:fill="FFFFFF"/>
        </w:rPr>
        <w:t xml:space="preserve">publicly available online at </w:t>
      </w:r>
      <w:hyperlink r:id="rId31" w:history="1">
        <w:r w:rsidR="009B0F86" w:rsidRPr="00495F5A">
          <w:rPr>
            <w:rStyle w:val="Hyperlink"/>
            <w:rFonts w:cs="Arial"/>
            <w:szCs w:val="22"/>
            <w:shd w:val="clear" w:color="auto" w:fill="FFFFFF"/>
          </w:rPr>
          <w:t>https://www.femaflavor.org/publications/gras-publications/gras-30</w:t>
        </w:r>
      </w:hyperlink>
    </w:p>
    <w:p w14:paraId="5141CD68" w14:textId="6471F342" w:rsidR="005E1F6F" w:rsidRDefault="005E1F6F" w:rsidP="00222C7F">
      <w:pPr>
        <w:widowControl/>
        <w:autoSpaceDE w:val="0"/>
        <w:autoSpaceDN w:val="0"/>
        <w:adjustRightInd w:val="0"/>
        <w:rPr>
          <w:rFonts w:eastAsia="Calibri" w:cs="Arial"/>
          <w:bCs/>
          <w:szCs w:val="22"/>
          <w:lang w:val="en-AU" w:bidi="ar-SA"/>
        </w:rPr>
      </w:pPr>
    </w:p>
    <w:p w14:paraId="42DB6595" w14:textId="77777777" w:rsidR="004A7E76" w:rsidRDefault="004A7E76" w:rsidP="00EA72C9">
      <w:pPr>
        <w:widowControl/>
        <w:autoSpaceDE w:val="0"/>
        <w:autoSpaceDN w:val="0"/>
        <w:adjustRightInd w:val="0"/>
        <w:rPr>
          <w:rFonts w:eastAsia="Calibri" w:cs="Arial"/>
          <w:bCs/>
          <w:i/>
          <w:iCs/>
          <w:szCs w:val="22"/>
          <w:lang w:val="en-AU" w:bidi="ar-SA"/>
        </w:rPr>
      </w:pPr>
      <w:r>
        <w:rPr>
          <w:rFonts w:eastAsia="Calibri" w:cs="Arial"/>
          <w:bCs/>
          <w:i/>
          <w:iCs/>
          <w:szCs w:val="22"/>
          <w:lang w:val="en-AU" w:bidi="ar-SA"/>
        </w:rPr>
        <w:t>Standard 2.2.3</w:t>
      </w:r>
    </w:p>
    <w:p w14:paraId="3FEF6595" w14:textId="77777777" w:rsidR="00257011" w:rsidRDefault="00257011" w:rsidP="00EA72C9">
      <w:pPr>
        <w:widowControl/>
        <w:autoSpaceDE w:val="0"/>
        <w:autoSpaceDN w:val="0"/>
        <w:adjustRightInd w:val="0"/>
        <w:rPr>
          <w:rFonts w:eastAsia="Calibri" w:cs="Arial"/>
          <w:bCs/>
          <w:i/>
          <w:iCs/>
          <w:szCs w:val="22"/>
          <w:lang w:val="en-AU" w:bidi="ar-SA"/>
        </w:rPr>
      </w:pPr>
    </w:p>
    <w:p w14:paraId="3D0ECDA5" w14:textId="7D7F4ACD" w:rsidR="00523C8D" w:rsidRDefault="00257011" w:rsidP="00EE177B">
      <w:pPr>
        <w:widowControl/>
        <w:autoSpaceDE w:val="0"/>
        <w:autoSpaceDN w:val="0"/>
        <w:adjustRightInd w:val="0"/>
        <w:rPr>
          <w:rFonts w:eastAsia="Calibri" w:cs="Arial"/>
          <w:bCs/>
          <w:szCs w:val="22"/>
          <w:lang w:val="en-AU" w:bidi="ar-SA"/>
        </w:rPr>
      </w:pPr>
      <w:r w:rsidRPr="00B638E6">
        <w:rPr>
          <w:rFonts w:eastAsia="Calibri" w:cs="Arial"/>
          <w:bCs/>
          <w:szCs w:val="22"/>
          <w:lang w:val="en-AU" w:bidi="ar-SA"/>
        </w:rPr>
        <w:t xml:space="preserve">Standard 2.2.3 contains </w:t>
      </w:r>
      <w:r w:rsidR="00312F50">
        <w:rPr>
          <w:rFonts w:eastAsia="Calibri" w:cs="Arial"/>
          <w:bCs/>
          <w:szCs w:val="22"/>
          <w:lang w:val="en-AU" w:bidi="ar-SA"/>
        </w:rPr>
        <w:t>several</w:t>
      </w:r>
      <w:r w:rsidR="00D3669A">
        <w:rPr>
          <w:rFonts w:eastAsia="Calibri" w:cs="Arial"/>
          <w:bCs/>
          <w:szCs w:val="22"/>
          <w:lang w:val="en-AU" w:bidi="ar-SA"/>
        </w:rPr>
        <w:t xml:space="preserve"> </w:t>
      </w:r>
      <w:r w:rsidR="00642D1E">
        <w:rPr>
          <w:rFonts w:eastAsia="Calibri" w:cs="Arial"/>
          <w:bCs/>
          <w:szCs w:val="22"/>
          <w:lang w:val="en-AU" w:bidi="ar-SA"/>
        </w:rPr>
        <w:t xml:space="preserve">editorial </w:t>
      </w:r>
      <w:r w:rsidR="003A522E">
        <w:rPr>
          <w:rFonts w:eastAsia="Calibri" w:cs="Arial"/>
          <w:bCs/>
          <w:szCs w:val="22"/>
          <w:lang w:val="en-AU" w:bidi="ar-SA"/>
        </w:rPr>
        <w:t>Notes</w:t>
      </w:r>
      <w:r w:rsidR="006B7E65">
        <w:rPr>
          <w:rFonts w:eastAsia="Calibri" w:cs="Arial"/>
          <w:bCs/>
          <w:szCs w:val="22"/>
          <w:lang w:val="en-AU" w:bidi="ar-SA"/>
        </w:rPr>
        <w:t xml:space="preserve">. </w:t>
      </w:r>
      <w:r w:rsidR="00F32541" w:rsidRPr="00B638E6">
        <w:rPr>
          <w:rFonts w:eastAsia="Calibri" w:cs="Arial"/>
          <w:bCs/>
          <w:szCs w:val="22"/>
          <w:lang w:val="en-AU" w:bidi="ar-SA"/>
        </w:rPr>
        <w:t>Note</w:t>
      </w:r>
      <w:r w:rsidR="00EE177B">
        <w:rPr>
          <w:rFonts w:eastAsia="Calibri" w:cs="Arial"/>
          <w:bCs/>
          <w:szCs w:val="22"/>
          <w:lang w:val="en-AU" w:bidi="ar-SA"/>
        </w:rPr>
        <w:t xml:space="preserve"> </w:t>
      </w:r>
      <w:r w:rsidR="00034222">
        <w:rPr>
          <w:rFonts w:eastAsia="Calibri" w:cs="Arial"/>
          <w:bCs/>
          <w:szCs w:val="22"/>
          <w:lang w:val="en-AU" w:bidi="ar-SA"/>
        </w:rPr>
        <w:t>3</w:t>
      </w:r>
      <w:r w:rsidR="00F32541" w:rsidRPr="00B638E6">
        <w:rPr>
          <w:rFonts w:eastAsia="Calibri" w:cs="Arial"/>
          <w:bCs/>
          <w:szCs w:val="22"/>
          <w:lang w:val="en-AU" w:bidi="ar-SA"/>
        </w:rPr>
        <w:t xml:space="preserve"> provide</w:t>
      </w:r>
      <w:r w:rsidR="006B7E65">
        <w:rPr>
          <w:rFonts w:eastAsia="Calibri" w:cs="Arial"/>
          <w:bCs/>
          <w:szCs w:val="22"/>
          <w:lang w:val="en-AU" w:bidi="ar-SA"/>
        </w:rPr>
        <w:t>s</w:t>
      </w:r>
      <w:r w:rsidR="00F32541" w:rsidRPr="00B638E6">
        <w:rPr>
          <w:rFonts w:eastAsia="Calibri" w:cs="Arial"/>
          <w:bCs/>
          <w:szCs w:val="22"/>
          <w:lang w:val="en-AU" w:bidi="ar-SA"/>
        </w:rPr>
        <w:t xml:space="preserve"> </w:t>
      </w:r>
      <w:r w:rsidR="00B638E6">
        <w:rPr>
          <w:rFonts w:eastAsia="Calibri" w:cs="Arial"/>
          <w:bCs/>
          <w:szCs w:val="22"/>
          <w:lang w:val="en-AU" w:bidi="ar-SA"/>
        </w:rPr>
        <w:t xml:space="preserve">links to websites that provide guidance on </w:t>
      </w:r>
      <w:r w:rsidR="004F276E">
        <w:rPr>
          <w:rFonts w:eastAsia="Calibri" w:cs="Arial"/>
          <w:bCs/>
          <w:szCs w:val="22"/>
          <w:lang w:val="en-AU" w:bidi="ar-SA"/>
        </w:rPr>
        <w:t xml:space="preserve">fish names. These include a link to </w:t>
      </w:r>
      <w:r w:rsidR="00D84FD7">
        <w:rPr>
          <w:rFonts w:eastAsia="Calibri" w:cs="Arial"/>
          <w:bCs/>
          <w:szCs w:val="22"/>
          <w:lang w:val="en-AU" w:bidi="ar-SA"/>
        </w:rPr>
        <w:t xml:space="preserve">the </w:t>
      </w:r>
      <w:r w:rsidR="00AD6A88">
        <w:rPr>
          <w:rFonts w:eastAsia="Calibri" w:cs="Arial"/>
          <w:bCs/>
          <w:szCs w:val="22"/>
          <w:lang w:val="en-AU" w:bidi="ar-SA"/>
        </w:rPr>
        <w:t xml:space="preserve">2015 </w:t>
      </w:r>
      <w:r w:rsidR="00A52EFC">
        <w:rPr>
          <w:rFonts w:eastAsia="Calibri" w:cs="Arial"/>
          <w:bCs/>
          <w:szCs w:val="22"/>
          <w:lang w:val="en-AU" w:bidi="ar-SA"/>
        </w:rPr>
        <w:t xml:space="preserve">edition of the </w:t>
      </w:r>
      <w:r w:rsidR="00D84FD7">
        <w:rPr>
          <w:rFonts w:eastAsia="Calibri" w:cs="Arial"/>
          <w:bCs/>
          <w:szCs w:val="22"/>
          <w:lang w:val="en-AU" w:bidi="ar-SA"/>
        </w:rPr>
        <w:t>Australian Fish Names Standard</w:t>
      </w:r>
      <w:r w:rsidR="00AD6A88">
        <w:rPr>
          <w:rFonts w:eastAsia="Calibri" w:cs="Arial"/>
          <w:bCs/>
          <w:szCs w:val="22"/>
          <w:lang w:val="en-AU" w:bidi="ar-SA"/>
        </w:rPr>
        <w:t xml:space="preserve"> </w:t>
      </w:r>
      <w:r w:rsidR="00A52EFC">
        <w:rPr>
          <w:rFonts w:eastAsia="Calibri" w:cs="Arial"/>
          <w:bCs/>
          <w:szCs w:val="22"/>
          <w:lang w:val="en-AU" w:bidi="ar-SA"/>
        </w:rPr>
        <w:t>published</w:t>
      </w:r>
      <w:r w:rsidR="00AD6A88">
        <w:rPr>
          <w:rFonts w:eastAsia="Calibri" w:cs="Arial"/>
          <w:bCs/>
          <w:szCs w:val="22"/>
          <w:lang w:val="en-AU" w:bidi="ar-SA"/>
        </w:rPr>
        <w:t xml:space="preserve"> by Standards Australia</w:t>
      </w:r>
      <w:r w:rsidR="00D84FD7">
        <w:rPr>
          <w:rFonts w:eastAsia="Calibri" w:cs="Arial"/>
          <w:bCs/>
          <w:szCs w:val="22"/>
          <w:lang w:val="en-AU" w:bidi="ar-SA"/>
        </w:rPr>
        <w:t xml:space="preserve">. </w:t>
      </w:r>
      <w:r w:rsidR="00AD6A88">
        <w:rPr>
          <w:rFonts w:eastAsia="Calibri" w:cs="Arial"/>
          <w:bCs/>
          <w:szCs w:val="22"/>
          <w:lang w:val="en-AU" w:bidi="ar-SA"/>
        </w:rPr>
        <w:t xml:space="preserve">Standards Australia has </w:t>
      </w:r>
      <w:r w:rsidR="00A52EFC">
        <w:rPr>
          <w:rFonts w:eastAsia="Calibri" w:cs="Arial"/>
          <w:bCs/>
          <w:szCs w:val="22"/>
          <w:lang w:val="en-AU" w:bidi="ar-SA"/>
        </w:rPr>
        <w:t>published</w:t>
      </w:r>
      <w:r w:rsidR="00AD6A88">
        <w:rPr>
          <w:rFonts w:eastAsia="Calibri" w:cs="Arial"/>
          <w:bCs/>
          <w:szCs w:val="22"/>
          <w:lang w:val="en-AU" w:bidi="ar-SA"/>
        </w:rPr>
        <w:t xml:space="preserve"> a 2019 edi</w:t>
      </w:r>
      <w:r w:rsidR="002F62E3">
        <w:rPr>
          <w:rFonts w:eastAsia="Calibri" w:cs="Arial"/>
          <w:bCs/>
          <w:szCs w:val="22"/>
          <w:lang w:val="en-AU" w:bidi="ar-SA"/>
        </w:rPr>
        <w:t xml:space="preserve">tion of that Standard. </w:t>
      </w:r>
      <w:r w:rsidR="002F62E3">
        <w:t xml:space="preserve">The draft variation would amend </w:t>
      </w:r>
      <w:r w:rsidR="00127302">
        <w:rPr>
          <w:rFonts w:eastAsia="Calibri" w:cs="Arial"/>
          <w:bCs/>
          <w:szCs w:val="22"/>
          <w:lang w:val="en-AU" w:bidi="ar-SA"/>
        </w:rPr>
        <w:t xml:space="preserve">Note </w:t>
      </w:r>
      <w:r w:rsidR="002F62E3">
        <w:rPr>
          <w:rFonts w:eastAsia="Calibri" w:cs="Arial"/>
          <w:bCs/>
          <w:szCs w:val="22"/>
          <w:lang w:val="en-AU" w:bidi="ar-SA"/>
        </w:rPr>
        <w:t xml:space="preserve">3 </w:t>
      </w:r>
      <w:r w:rsidR="00EE177B">
        <w:rPr>
          <w:rFonts w:eastAsia="Calibri" w:cs="Arial"/>
          <w:bCs/>
          <w:szCs w:val="22"/>
          <w:lang w:val="en-AU" w:bidi="ar-SA"/>
        </w:rPr>
        <w:t>in Standard 2.2.3</w:t>
      </w:r>
      <w:r w:rsidR="002F62E3">
        <w:rPr>
          <w:rFonts w:eastAsia="Calibri" w:cs="Arial"/>
          <w:bCs/>
          <w:szCs w:val="22"/>
          <w:lang w:val="en-AU" w:bidi="ar-SA"/>
        </w:rPr>
        <w:t xml:space="preserve">  to refer instead to the </w:t>
      </w:r>
      <w:r w:rsidR="00EE177B">
        <w:rPr>
          <w:rFonts w:eastAsia="Calibri" w:cs="Arial"/>
          <w:bCs/>
          <w:szCs w:val="22"/>
          <w:lang w:val="en-AU" w:bidi="ar-SA"/>
        </w:rPr>
        <w:t xml:space="preserve">2019 </w:t>
      </w:r>
      <w:r w:rsidR="00A52EFC">
        <w:rPr>
          <w:rFonts w:eastAsia="Calibri" w:cs="Arial"/>
          <w:bCs/>
          <w:szCs w:val="22"/>
          <w:lang w:val="en-AU" w:bidi="ar-SA"/>
        </w:rPr>
        <w:t>edition of the Australian Fish Names Standard</w:t>
      </w:r>
      <w:r w:rsidR="00EE177B">
        <w:rPr>
          <w:rFonts w:eastAsia="Calibri" w:cs="Arial"/>
          <w:bCs/>
          <w:szCs w:val="22"/>
          <w:lang w:val="en-AU" w:bidi="ar-SA"/>
        </w:rPr>
        <w:t>.</w:t>
      </w:r>
    </w:p>
    <w:p w14:paraId="214AC00F" w14:textId="77777777" w:rsidR="00A52EFC" w:rsidRDefault="00A52EFC" w:rsidP="00EE177B">
      <w:pPr>
        <w:widowControl/>
        <w:autoSpaceDE w:val="0"/>
        <w:autoSpaceDN w:val="0"/>
        <w:adjustRightInd w:val="0"/>
        <w:rPr>
          <w:rFonts w:eastAsia="Calibri" w:cs="Arial"/>
          <w:bCs/>
          <w:szCs w:val="22"/>
          <w:lang w:val="en-AU" w:bidi="ar-SA"/>
        </w:rPr>
      </w:pPr>
    </w:p>
    <w:p w14:paraId="14AF7826" w14:textId="105B6DF1" w:rsidR="00235AB6" w:rsidRPr="00E6409D" w:rsidRDefault="00235AB6" w:rsidP="00235AB6">
      <w:pPr>
        <w:widowControl/>
        <w:autoSpaceDE w:val="0"/>
        <w:autoSpaceDN w:val="0"/>
        <w:adjustRightInd w:val="0"/>
        <w:rPr>
          <w:rFonts w:eastAsia="Calibri" w:cs="Arial"/>
          <w:bCs/>
          <w:szCs w:val="22"/>
          <w:lang w:val="en-AU" w:bidi="ar-SA"/>
        </w:rPr>
      </w:pPr>
      <w:r>
        <w:rPr>
          <w:bCs/>
          <w:lang w:val="en-AU" w:eastAsia="en-GB" w:bidi="ar-SA"/>
        </w:rPr>
        <w:t xml:space="preserve">Note 3 to Standard 2.2.3 </w:t>
      </w:r>
      <w:r w:rsidR="00487B57">
        <w:rPr>
          <w:bCs/>
          <w:lang w:val="en-AU" w:eastAsia="en-GB" w:bidi="ar-SA"/>
        </w:rPr>
        <w:t>does not inc</w:t>
      </w:r>
      <w:r w:rsidR="00224731">
        <w:rPr>
          <w:bCs/>
          <w:lang w:val="en-AU" w:eastAsia="en-GB" w:bidi="ar-SA"/>
        </w:rPr>
        <w:t xml:space="preserve">orporate the </w:t>
      </w:r>
      <w:r w:rsidR="00224731">
        <w:rPr>
          <w:rFonts w:eastAsia="Calibri" w:cs="Arial"/>
          <w:bCs/>
          <w:szCs w:val="22"/>
          <w:lang w:val="en-AU" w:bidi="ar-SA"/>
        </w:rPr>
        <w:t xml:space="preserve">Australian Fish Names Standard by reference. The </w:t>
      </w:r>
      <w:r w:rsidR="003A522E">
        <w:rPr>
          <w:rFonts w:eastAsia="Calibri" w:cs="Arial"/>
          <w:bCs/>
          <w:szCs w:val="22"/>
          <w:lang w:val="en-AU" w:bidi="ar-SA"/>
        </w:rPr>
        <w:t xml:space="preserve">Note </w:t>
      </w:r>
      <w:r>
        <w:rPr>
          <w:bCs/>
          <w:lang w:val="en-AU" w:eastAsia="en-GB" w:bidi="ar-SA"/>
        </w:rPr>
        <w:t xml:space="preserve">has no legal effect. </w:t>
      </w:r>
      <w:r w:rsidR="007E29CB">
        <w:rPr>
          <w:bCs/>
          <w:lang w:val="en-AU" w:eastAsia="en-GB" w:bidi="ar-SA"/>
        </w:rPr>
        <w:t xml:space="preserve">Nor does it impose or set any requirement. </w:t>
      </w:r>
      <w:r w:rsidR="004F111E">
        <w:rPr>
          <w:bCs/>
          <w:lang w:val="en-AU" w:eastAsia="en-GB" w:bidi="ar-SA"/>
        </w:rPr>
        <w:t xml:space="preserve">Editorial </w:t>
      </w:r>
      <w:r w:rsidR="00312F50">
        <w:rPr>
          <w:bCs/>
          <w:lang w:val="en-AU" w:eastAsia="en-GB" w:bidi="ar-SA"/>
        </w:rPr>
        <w:t>N</w:t>
      </w:r>
      <w:r>
        <w:rPr>
          <w:bCs/>
          <w:lang w:val="en-AU" w:eastAsia="en-GB" w:bidi="ar-SA"/>
        </w:rPr>
        <w:t xml:space="preserve">otes such as </w:t>
      </w:r>
      <w:r w:rsidR="003A522E">
        <w:rPr>
          <w:bCs/>
          <w:lang w:val="en-AU" w:eastAsia="en-GB" w:bidi="ar-SA"/>
        </w:rPr>
        <w:t xml:space="preserve">Note </w:t>
      </w:r>
      <w:r>
        <w:rPr>
          <w:bCs/>
          <w:lang w:val="en-AU" w:eastAsia="en-GB" w:bidi="ar-SA"/>
        </w:rPr>
        <w:t xml:space="preserve">3 do not form part of the Code (see the definition of the term ‘standard’ in subsection 4(1) of the FSANZ Act). </w:t>
      </w:r>
    </w:p>
    <w:p w14:paraId="32DB309A" w14:textId="77777777" w:rsidR="00235AB6" w:rsidRDefault="00235AB6" w:rsidP="00EE177B">
      <w:pPr>
        <w:widowControl/>
        <w:autoSpaceDE w:val="0"/>
        <w:autoSpaceDN w:val="0"/>
        <w:adjustRightInd w:val="0"/>
        <w:rPr>
          <w:bCs/>
          <w:lang w:val="en-AU" w:eastAsia="en-GB" w:bidi="ar-SA"/>
        </w:rPr>
      </w:pPr>
    </w:p>
    <w:p w14:paraId="4EBC3ED4" w14:textId="36C6FCA3" w:rsidR="005D4528" w:rsidRDefault="00A52EFC" w:rsidP="00EE177B">
      <w:pPr>
        <w:widowControl/>
        <w:autoSpaceDE w:val="0"/>
        <w:autoSpaceDN w:val="0"/>
        <w:adjustRightInd w:val="0"/>
        <w:rPr>
          <w:bCs/>
          <w:lang w:val="en-AU" w:eastAsia="en-GB" w:bidi="ar-SA"/>
        </w:rPr>
      </w:pPr>
      <w:r>
        <w:rPr>
          <w:bCs/>
          <w:lang w:val="en-AU" w:eastAsia="en-GB" w:bidi="ar-SA"/>
        </w:rPr>
        <w:t xml:space="preserve">The </w:t>
      </w:r>
      <w:r w:rsidR="008E236F">
        <w:rPr>
          <w:bCs/>
          <w:lang w:val="en-AU" w:eastAsia="en-GB" w:bidi="ar-SA"/>
        </w:rPr>
        <w:t xml:space="preserve">2019 edition of the </w:t>
      </w:r>
      <w:r w:rsidRPr="00A52EFC">
        <w:rPr>
          <w:bCs/>
          <w:lang w:val="en-AU" w:eastAsia="en-GB" w:bidi="ar-SA"/>
        </w:rPr>
        <w:t xml:space="preserve">Australian Fish Names Standard </w:t>
      </w:r>
      <w:r>
        <w:rPr>
          <w:bCs/>
          <w:lang w:val="en-AU" w:eastAsia="en-GB" w:bidi="ar-SA"/>
        </w:rPr>
        <w:t>is</w:t>
      </w:r>
      <w:r w:rsidRPr="00FF16BA">
        <w:rPr>
          <w:bCs/>
          <w:lang w:val="en-AU" w:eastAsia="en-GB" w:bidi="ar-SA"/>
        </w:rPr>
        <w:t xml:space="preserve"> </w:t>
      </w:r>
      <w:r>
        <w:rPr>
          <w:bCs/>
          <w:lang w:val="en-AU" w:eastAsia="en-GB" w:bidi="ar-SA"/>
        </w:rPr>
        <w:t>not available for free. Copies can</w:t>
      </w:r>
      <w:r w:rsidR="00BF7012">
        <w:rPr>
          <w:bCs/>
          <w:lang w:val="en-AU" w:eastAsia="en-GB" w:bidi="ar-SA"/>
        </w:rPr>
        <w:t xml:space="preserve"> be</w:t>
      </w:r>
      <w:r>
        <w:rPr>
          <w:bCs/>
          <w:lang w:val="en-AU" w:eastAsia="en-GB" w:bidi="ar-SA"/>
        </w:rPr>
        <w:t xml:space="preserve"> </w:t>
      </w:r>
      <w:r w:rsidRPr="00FF16BA">
        <w:rPr>
          <w:bCs/>
          <w:lang w:val="en-AU" w:eastAsia="en-GB" w:bidi="ar-SA"/>
        </w:rPr>
        <w:t xml:space="preserve">purchased </w:t>
      </w:r>
      <w:r w:rsidR="00B35E34">
        <w:rPr>
          <w:bCs/>
          <w:lang w:val="en-AU" w:eastAsia="en-GB" w:bidi="ar-SA"/>
        </w:rPr>
        <w:t xml:space="preserve">online </w:t>
      </w:r>
      <w:r w:rsidRPr="00FF16BA">
        <w:rPr>
          <w:bCs/>
          <w:lang w:val="en-AU" w:eastAsia="en-GB" w:bidi="ar-SA"/>
        </w:rPr>
        <w:t xml:space="preserve">through the SAI Global </w:t>
      </w:r>
      <w:proofErr w:type="spellStart"/>
      <w:r w:rsidRPr="00FF16BA">
        <w:rPr>
          <w:bCs/>
          <w:lang w:val="en-AU" w:eastAsia="en-GB" w:bidi="ar-SA"/>
        </w:rPr>
        <w:t>Infostore</w:t>
      </w:r>
      <w:proofErr w:type="spellEnd"/>
      <w:r>
        <w:rPr>
          <w:bCs/>
          <w:lang w:val="en-AU" w:eastAsia="en-GB" w:bidi="ar-SA"/>
        </w:rPr>
        <w:t xml:space="preserve">. </w:t>
      </w:r>
      <w:r w:rsidR="008E236F">
        <w:rPr>
          <w:bCs/>
          <w:lang w:val="en-AU" w:eastAsia="en-GB" w:bidi="ar-SA"/>
        </w:rPr>
        <w:t xml:space="preserve">However - </w:t>
      </w:r>
    </w:p>
    <w:p w14:paraId="29EABA64" w14:textId="77777777" w:rsidR="005D4528" w:rsidRDefault="005D4528" w:rsidP="00EE177B">
      <w:pPr>
        <w:widowControl/>
        <w:autoSpaceDE w:val="0"/>
        <w:autoSpaceDN w:val="0"/>
        <w:adjustRightInd w:val="0"/>
        <w:rPr>
          <w:bCs/>
          <w:lang w:val="en-AU" w:eastAsia="en-GB" w:bidi="ar-SA"/>
        </w:rPr>
      </w:pPr>
    </w:p>
    <w:p w14:paraId="7655BD53" w14:textId="5EBD4817" w:rsidR="00BE5B28" w:rsidRPr="008E236F" w:rsidRDefault="005D4528" w:rsidP="008E236F">
      <w:pPr>
        <w:pStyle w:val="ListParagraph"/>
        <w:widowControl/>
        <w:numPr>
          <w:ilvl w:val="0"/>
          <w:numId w:val="19"/>
        </w:numPr>
        <w:autoSpaceDE w:val="0"/>
        <w:autoSpaceDN w:val="0"/>
        <w:adjustRightInd w:val="0"/>
        <w:rPr>
          <w:bCs/>
          <w:lang w:val="en-AU" w:eastAsia="en-GB" w:bidi="ar-SA"/>
        </w:rPr>
      </w:pPr>
      <w:r w:rsidRPr="008E236F">
        <w:rPr>
          <w:bCs/>
          <w:lang w:val="en-AU" w:eastAsia="en-GB" w:bidi="ar-SA"/>
        </w:rPr>
        <w:t xml:space="preserve">As </w:t>
      </w:r>
      <w:r w:rsidR="008E236F" w:rsidRPr="008E236F">
        <w:rPr>
          <w:bCs/>
          <w:lang w:val="en-AU" w:eastAsia="en-GB" w:bidi="ar-SA"/>
        </w:rPr>
        <w:t>is e</w:t>
      </w:r>
      <w:r w:rsidR="00E75BDA" w:rsidRPr="008E236F">
        <w:rPr>
          <w:bCs/>
          <w:lang w:val="en-AU" w:eastAsia="en-GB" w:bidi="ar-SA"/>
        </w:rPr>
        <w:t>xplained in Note 3</w:t>
      </w:r>
      <w:r w:rsidR="008E236F" w:rsidRPr="008E236F">
        <w:rPr>
          <w:bCs/>
          <w:lang w:val="en-AU" w:eastAsia="en-GB" w:bidi="ar-SA"/>
        </w:rPr>
        <w:t xml:space="preserve"> itself</w:t>
      </w:r>
      <w:r w:rsidR="00E75BDA" w:rsidRPr="008E236F">
        <w:rPr>
          <w:bCs/>
          <w:lang w:val="en-AU" w:eastAsia="en-GB" w:bidi="ar-SA"/>
        </w:rPr>
        <w:t xml:space="preserve">, </w:t>
      </w:r>
      <w:r w:rsidR="00A52EFC" w:rsidRPr="008E236F">
        <w:rPr>
          <w:bCs/>
          <w:lang w:val="en-AU" w:eastAsia="en-GB" w:bidi="ar-SA"/>
        </w:rPr>
        <w:t>an online searchable Fish Names Database, which is understood to have the most up-to-date information on all approved group and individual species names, is publicly available at </w:t>
      </w:r>
      <w:hyperlink r:id="rId32" w:history="1">
        <w:r w:rsidR="00A52EFC" w:rsidRPr="008E236F">
          <w:rPr>
            <w:rStyle w:val="Hyperlink"/>
            <w:bCs/>
            <w:lang w:val="en-AU" w:eastAsia="en-GB" w:bidi="ar-SA"/>
          </w:rPr>
          <w:t>http://www.fishnames.com.au</w:t>
        </w:r>
      </w:hyperlink>
      <w:r w:rsidR="00A52EFC" w:rsidRPr="008E236F">
        <w:rPr>
          <w:bCs/>
          <w:lang w:val="en-AU" w:eastAsia="en-GB" w:bidi="ar-SA"/>
        </w:rPr>
        <w:t xml:space="preserve">. </w:t>
      </w:r>
    </w:p>
    <w:p w14:paraId="6FB92D7F" w14:textId="77777777" w:rsidR="00BE5B28" w:rsidRDefault="00BE5B28" w:rsidP="00EE177B">
      <w:pPr>
        <w:widowControl/>
        <w:autoSpaceDE w:val="0"/>
        <w:autoSpaceDN w:val="0"/>
        <w:adjustRightInd w:val="0"/>
        <w:rPr>
          <w:bCs/>
          <w:lang w:val="en-AU" w:eastAsia="en-GB" w:bidi="ar-SA"/>
        </w:rPr>
      </w:pPr>
    </w:p>
    <w:p w14:paraId="7FFCEE70" w14:textId="02D823E0" w:rsidR="00593C48" w:rsidRPr="008E236F" w:rsidRDefault="00593C48" w:rsidP="008E236F">
      <w:pPr>
        <w:pStyle w:val="ListParagraph"/>
        <w:widowControl/>
        <w:numPr>
          <w:ilvl w:val="0"/>
          <w:numId w:val="19"/>
        </w:numPr>
        <w:autoSpaceDE w:val="0"/>
        <w:autoSpaceDN w:val="0"/>
        <w:adjustRightInd w:val="0"/>
        <w:rPr>
          <w:rStyle w:val="cf01"/>
          <w:rFonts w:ascii="Arial" w:hAnsi="Arial" w:cs="Arial"/>
          <w:sz w:val="22"/>
          <w:szCs w:val="22"/>
        </w:rPr>
      </w:pPr>
      <w:r w:rsidRPr="008E236F">
        <w:rPr>
          <w:bCs/>
          <w:lang w:val="en-AU" w:eastAsia="en-GB" w:bidi="ar-SA"/>
        </w:rPr>
        <w:t xml:space="preserve">Copies of the Standard are </w:t>
      </w:r>
      <w:r w:rsidR="005D4528" w:rsidRPr="008E236F">
        <w:rPr>
          <w:bCs/>
          <w:lang w:val="en-AU" w:eastAsia="en-GB" w:bidi="ar-SA"/>
        </w:rPr>
        <w:t xml:space="preserve">also </w:t>
      </w:r>
      <w:r w:rsidRPr="008E236F">
        <w:rPr>
          <w:bCs/>
          <w:lang w:val="en-AU" w:eastAsia="en-GB" w:bidi="ar-SA"/>
        </w:rPr>
        <w:t xml:space="preserve">available </w:t>
      </w:r>
      <w:r w:rsidR="005D4528" w:rsidRPr="008E236F">
        <w:rPr>
          <w:bCs/>
          <w:lang w:val="en-AU" w:eastAsia="en-GB" w:bidi="ar-SA"/>
        </w:rPr>
        <w:t>through</w:t>
      </w:r>
      <w:r w:rsidR="00BE5B28" w:rsidRPr="008E236F">
        <w:rPr>
          <w:bCs/>
          <w:lang w:val="en-AU" w:eastAsia="en-GB" w:bidi="ar-SA"/>
        </w:rPr>
        <w:t xml:space="preserve"> public libraries</w:t>
      </w:r>
      <w:r w:rsidR="005D4528" w:rsidRPr="008E236F">
        <w:rPr>
          <w:bCs/>
          <w:lang w:val="en-AU" w:eastAsia="en-GB" w:bidi="ar-SA"/>
        </w:rPr>
        <w:t xml:space="preserve"> in Australia</w:t>
      </w:r>
      <w:r w:rsidR="00BE5B28" w:rsidRPr="008E236F">
        <w:rPr>
          <w:bCs/>
          <w:lang w:val="en-AU" w:eastAsia="en-GB" w:bidi="ar-SA"/>
        </w:rPr>
        <w:t xml:space="preserve">. The </w:t>
      </w:r>
      <w:r w:rsidRPr="008E236F">
        <w:rPr>
          <w:rStyle w:val="cf01"/>
          <w:rFonts w:ascii="Arial" w:hAnsi="Arial" w:cs="Arial"/>
          <w:sz w:val="22"/>
          <w:szCs w:val="22"/>
        </w:rPr>
        <w:t>National Library’s Trove online system (</w:t>
      </w:r>
      <w:hyperlink r:id="rId33" w:history="1">
        <w:r w:rsidRPr="008E236F">
          <w:rPr>
            <w:rStyle w:val="cf21"/>
            <w:rFonts w:ascii="Arial" w:hAnsi="Arial" w:cs="Arial"/>
            <w:color w:val="0000FF"/>
            <w:sz w:val="22"/>
            <w:szCs w:val="22"/>
          </w:rPr>
          <w:t>www.trove.nla.gov.au/</w:t>
        </w:r>
      </w:hyperlink>
      <w:r w:rsidRPr="008E236F">
        <w:rPr>
          <w:rStyle w:val="cf01"/>
          <w:rFonts w:ascii="Arial" w:hAnsi="Arial" w:cs="Arial"/>
          <w:sz w:val="22"/>
          <w:szCs w:val="22"/>
        </w:rPr>
        <w:t xml:space="preserve">) allows users to identify libraries in Australia that are open to the public where editions of the </w:t>
      </w:r>
      <w:r w:rsidR="00EF5A8D">
        <w:rPr>
          <w:rStyle w:val="cf01"/>
          <w:rFonts w:ascii="Arial" w:hAnsi="Arial" w:cs="Arial"/>
          <w:sz w:val="22"/>
          <w:szCs w:val="22"/>
        </w:rPr>
        <w:t>Standard</w:t>
      </w:r>
      <w:r w:rsidR="00CB606F" w:rsidRPr="008E236F">
        <w:rPr>
          <w:rStyle w:val="cf01"/>
          <w:rFonts w:ascii="Arial" w:hAnsi="Arial" w:cs="Arial"/>
          <w:sz w:val="22"/>
          <w:szCs w:val="22"/>
        </w:rPr>
        <w:t xml:space="preserve"> </w:t>
      </w:r>
      <w:r w:rsidRPr="008E236F">
        <w:rPr>
          <w:rStyle w:val="cf01"/>
          <w:rFonts w:ascii="Arial" w:hAnsi="Arial" w:cs="Arial"/>
          <w:sz w:val="22"/>
          <w:szCs w:val="22"/>
        </w:rPr>
        <w:t>may be viewed. Members of the public may also approach any library that participates in inter-library loans with those university libraries to request an inter</w:t>
      </w:r>
      <w:r w:rsidRPr="008E236F">
        <w:rPr>
          <w:rStyle w:val="cf01"/>
          <w:rFonts w:ascii="Arial" w:hAnsi="Arial" w:cs="Arial"/>
          <w:sz w:val="22"/>
          <w:szCs w:val="22"/>
        </w:rPr>
        <w:noBreakHyphen/>
        <w:t xml:space="preserve">library loan, or to obtain a photocopy of a particular part or monograph for personal study or research (but not for commercial purposes). Fees apply in relation to the making of such a request. Enquiries </w:t>
      </w:r>
      <w:r w:rsidR="008E236F" w:rsidRPr="008E236F">
        <w:rPr>
          <w:rStyle w:val="cf01"/>
          <w:rFonts w:ascii="Arial" w:hAnsi="Arial" w:cs="Arial"/>
          <w:sz w:val="22"/>
          <w:szCs w:val="22"/>
        </w:rPr>
        <w:t>can</w:t>
      </w:r>
      <w:r w:rsidRPr="008E236F">
        <w:rPr>
          <w:rStyle w:val="cf01"/>
          <w:rFonts w:ascii="Arial" w:hAnsi="Arial" w:cs="Arial"/>
          <w:sz w:val="22"/>
          <w:szCs w:val="22"/>
        </w:rPr>
        <w:t xml:space="preserve"> be made </w:t>
      </w:r>
      <w:r w:rsidR="00193111">
        <w:rPr>
          <w:rStyle w:val="cf01"/>
          <w:rFonts w:ascii="Arial" w:hAnsi="Arial" w:cs="Arial"/>
          <w:sz w:val="22"/>
          <w:szCs w:val="22"/>
        </w:rPr>
        <w:t>through</w:t>
      </w:r>
      <w:r w:rsidRPr="008E236F">
        <w:rPr>
          <w:rStyle w:val="cf01"/>
          <w:rFonts w:ascii="Arial" w:hAnsi="Arial" w:cs="Arial"/>
          <w:sz w:val="22"/>
          <w:szCs w:val="22"/>
        </w:rPr>
        <w:t xml:space="preserve"> local libraries, State libraries and the National Library.</w:t>
      </w:r>
      <w:r w:rsidR="005D4528" w:rsidRPr="008E236F">
        <w:rPr>
          <w:rStyle w:val="cf01"/>
          <w:rFonts w:ascii="Arial" w:hAnsi="Arial" w:cs="Arial"/>
          <w:sz w:val="22"/>
          <w:szCs w:val="22"/>
        </w:rPr>
        <w:t xml:space="preserve"> </w:t>
      </w:r>
      <w:r w:rsidRPr="008E236F">
        <w:rPr>
          <w:rStyle w:val="cf01"/>
          <w:rFonts w:ascii="Arial" w:hAnsi="Arial" w:cs="Arial"/>
          <w:sz w:val="22"/>
          <w:szCs w:val="22"/>
        </w:rPr>
        <w:t xml:space="preserve">For example, Trove indicates that access to the </w:t>
      </w:r>
      <w:r w:rsidR="005D4528" w:rsidRPr="008E236F">
        <w:rPr>
          <w:rStyle w:val="cf01"/>
          <w:rFonts w:ascii="Arial" w:hAnsi="Arial" w:cs="Arial"/>
          <w:sz w:val="22"/>
          <w:szCs w:val="22"/>
        </w:rPr>
        <w:t>2019</w:t>
      </w:r>
      <w:r w:rsidRPr="008E236F">
        <w:rPr>
          <w:rStyle w:val="cf01"/>
          <w:rFonts w:ascii="Arial" w:hAnsi="Arial" w:cs="Arial"/>
          <w:sz w:val="22"/>
          <w:szCs w:val="22"/>
        </w:rPr>
        <w:t xml:space="preserve"> edition of the </w:t>
      </w:r>
      <w:r w:rsidR="002D2E73" w:rsidRPr="008E236F">
        <w:rPr>
          <w:bCs/>
          <w:lang w:val="en-AU" w:eastAsia="en-GB" w:bidi="ar-SA"/>
        </w:rPr>
        <w:t xml:space="preserve">Australian Fish Names Standard </w:t>
      </w:r>
      <w:r w:rsidRPr="008E236F">
        <w:rPr>
          <w:rStyle w:val="cf01"/>
          <w:rFonts w:ascii="Arial" w:hAnsi="Arial" w:cs="Arial"/>
          <w:sz w:val="22"/>
          <w:szCs w:val="22"/>
        </w:rPr>
        <w:t xml:space="preserve">is available at the </w:t>
      </w:r>
      <w:r w:rsidR="005D4528" w:rsidRPr="008E236F">
        <w:rPr>
          <w:rStyle w:val="cf01"/>
          <w:rFonts w:ascii="Arial" w:hAnsi="Arial" w:cs="Arial"/>
          <w:sz w:val="22"/>
          <w:szCs w:val="22"/>
        </w:rPr>
        <w:t>National Library of Australia, which</w:t>
      </w:r>
      <w:r w:rsidRPr="008E236F">
        <w:rPr>
          <w:rStyle w:val="cf01"/>
          <w:rFonts w:ascii="Arial" w:hAnsi="Arial" w:cs="Arial"/>
          <w:sz w:val="22"/>
          <w:szCs w:val="22"/>
        </w:rPr>
        <w:t xml:space="preserve"> </w:t>
      </w:r>
      <w:r w:rsidR="005D4528" w:rsidRPr="008E236F">
        <w:rPr>
          <w:rStyle w:val="cf01"/>
          <w:rFonts w:ascii="Arial" w:hAnsi="Arial" w:cs="Arial"/>
          <w:sz w:val="22"/>
          <w:szCs w:val="22"/>
        </w:rPr>
        <w:t>is</w:t>
      </w:r>
      <w:r w:rsidRPr="008E236F">
        <w:rPr>
          <w:rStyle w:val="cf01"/>
          <w:rFonts w:ascii="Arial" w:hAnsi="Arial" w:cs="Arial"/>
          <w:sz w:val="22"/>
          <w:szCs w:val="22"/>
        </w:rPr>
        <w:t xml:space="preserve"> open to the public</w:t>
      </w:r>
      <w:r w:rsidR="005D4528" w:rsidRPr="008E236F">
        <w:rPr>
          <w:rStyle w:val="cf01"/>
          <w:rFonts w:ascii="Arial" w:hAnsi="Arial" w:cs="Arial"/>
          <w:sz w:val="22"/>
          <w:szCs w:val="22"/>
        </w:rPr>
        <w:t>.</w:t>
      </w:r>
    </w:p>
    <w:p w14:paraId="2D556C64" w14:textId="77777777" w:rsidR="005D4528" w:rsidRDefault="005D4528" w:rsidP="00593C48">
      <w:pPr>
        <w:widowControl/>
        <w:autoSpaceDE w:val="0"/>
        <w:autoSpaceDN w:val="0"/>
        <w:adjustRightInd w:val="0"/>
        <w:rPr>
          <w:rStyle w:val="cf01"/>
          <w:rFonts w:ascii="Arial" w:hAnsi="Arial" w:cs="Arial"/>
          <w:sz w:val="22"/>
          <w:szCs w:val="22"/>
        </w:rPr>
      </w:pPr>
    </w:p>
    <w:p w14:paraId="550EDC87" w14:textId="21483CE3" w:rsidR="005D4528" w:rsidRPr="008E236F" w:rsidRDefault="008E236F" w:rsidP="008E236F">
      <w:pPr>
        <w:pStyle w:val="ListParagraph"/>
        <w:widowControl/>
        <w:numPr>
          <w:ilvl w:val="0"/>
          <w:numId w:val="19"/>
        </w:numPr>
        <w:autoSpaceDE w:val="0"/>
        <w:autoSpaceDN w:val="0"/>
        <w:adjustRightInd w:val="0"/>
        <w:rPr>
          <w:bCs/>
          <w:lang w:val="en-AU" w:eastAsia="en-GB" w:bidi="ar-SA"/>
        </w:rPr>
      </w:pPr>
      <w:r w:rsidRPr="008E236F">
        <w:rPr>
          <w:bCs/>
          <w:lang w:val="en-AU" w:eastAsia="en-GB" w:bidi="ar-SA"/>
        </w:rPr>
        <w:t xml:space="preserve">The </w:t>
      </w:r>
      <w:r w:rsidR="005D4528" w:rsidRPr="008E236F">
        <w:rPr>
          <w:bCs/>
          <w:lang w:val="en-AU" w:eastAsia="en-GB" w:bidi="ar-SA"/>
        </w:rPr>
        <w:t xml:space="preserve">Australian Fish Names Standard may </w:t>
      </w:r>
      <w:r w:rsidRPr="008E236F">
        <w:rPr>
          <w:bCs/>
          <w:lang w:val="en-AU" w:eastAsia="en-GB" w:bidi="ar-SA"/>
        </w:rPr>
        <w:t xml:space="preserve">also </w:t>
      </w:r>
      <w:r w:rsidR="005D4528" w:rsidRPr="008E236F">
        <w:rPr>
          <w:bCs/>
          <w:lang w:val="en-AU" w:eastAsia="en-GB" w:bidi="ar-SA"/>
        </w:rPr>
        <w:t>be viewed without charge at the Authority’s Wellington and Canberra Offices</w:t>
      </w:r>
      <w:r w:rsidRPr="008E236F">
        <w:rPr>
          <w:bCs/>
          <w:lang w:val="en-AU" w:eastAsia="en-GB" w:bidi="ar-SA"/>
        </w:rPr>
        <w:t xml:space="preserve"> by prior written arrangement with the Authority.</w:t>
      </w:r>
      <w:r w:rsidR="005D4528" w:rsidRPr="008E236F">
        <w:rPr>
          <w:bCs/>
          <w:lang w:val="en-AU" w:eastAsia="en-GB" w:bidi="ar-SA"/>
        </w:rPr>
        <w:t xml:space="preserve"> </w:t>
      </w:r>
    </w:p>
    <w:p w14:paraId="17398236" w14:textId="77777777" w:rsidR="004A7E76" w:rsidRDefault="004A7E76" w:rsidP="00EA72C9">
      <w:pPr>
        <w:widowControl/>
        <w:autoSpaceDE w:val="0"/>
        <w:autoSpaceDN w:val="0"/>
        <w:adjustRightInd w:val="0"/>
        <w:rPr>
          <w:rFonts w:eastAsia="Calibri" w:cs="Arial"/>
          <w:bCs/>
          <w:i/>
          <w:iCs/>
          <w:szCs w:val="22"/>
          <w:lang w:val="en-AU" w:bidi="ar-SA"/>
        </w:rPr>
      </w:pPr>
    </w:p>
    <w:p w14:paraId="41528CC2" w14:textId="3190B341" w:rsidR="00EA72C9" w:rsidRDefault="00EA72C9" w:rsidP="00EA72C9">
      <w:pPr>
        <w:widowControl/>
        <w:autoSpaceDE w:val="0"/>
        <w:autoSpaceDN w:val="0"/>
        <w:adjustRightInd w:val="0"/>
        <w:rPr>
          <w:rFonts w:eastAsia="Calibri" w:cs="Arial"/>
          <w:bCs/>
          <w:szCs w:val="22"/>
          <w:lang w:val="en-AU" w:bidi="ar-SA"/>
        </w:rPr>
      </w:pPr>
      <w:r>
        <w:rPr>
          <w:rFonts w:eastAsia="Calibri" w:cs="Arial"/>
          <w:bCs/>
          <w:i/>
          <w:iCs/>
          <w:szCs w:val="22"/>
          <w:lang w:val="en-AU" w:bidi="ar-SA"/>
        </w:rPr>
        <w:t xml:space="preserve">Standard </w:t>
      </w:r>
      <w:r w:rsidR="00B9352B">
        <w:rPr>
          <w:rFonts w:eastAsia="Calibri" w:cs="Arial"/>
          <w:bCs/>
          <w:i/>
          <w:iCs/>
          <w:szCs w:val="22"/>
          <w:lang w:val="en-AU" w:bidi="ar-SA"/>
        </w:rPr>
        <w:t>4.2.1</w:t>
      </w:r>
    </w:p>
    <w:p w14:paraId="028E1B13" w14:textId="03F947FB" w:rsidR="005E1F6F" w:rsidRDefault="005E1F6F" w:rsidP="00222C7F">
      <w:pPr>
        <w:widowControl/>
        <w:autoSpaceDE w:val="0"/>
        <w:autoSpaceDN w:val="0"/>
        <w:adjustRightInd w:val="0"/>
        <w:rPr>
          <w:rFonts w:eastAsia="Calibri" w:cs="Arial"/>
          <w:bCs/>
          <w:szCs w:val="22"/>
          <w:lang w:val="en-AU" w:bidi="ar-SA"/>
        </w:rPr>
      </w:pPr>
    </w:p>
    <w:p w14:paraId="1D04DDC5" w14:textId="75429803" w:rsidR="00F771AE" w:rsidRDefault="00B9352B" w:rsidP="00222C7F">
      <w:pPr>
        <w:widowControl/>
        <w:autoSpaceDE w:val="0"/>
        <w:autoSpaceDN w:val="0"/>
        <w:adjustRightInd w:val="0"/>
        <w:rPr>
          <w:rFonts w:cs="Arial"/>
          <w:szCs w:val="22"/>
          <w:shd w:val="clear" w:color="auto" w:fill="FFFFFF"/>
        </w:rPr>
      </w:pPr>
      <w:r>
        <w:rPr>
          <w:rFonts w:eastAsia="Calibri" w:cs="Arial"/>
          <w:bCs/>
          <w:szCs w:val="22"/>
          <w:lang w:val="en-AU" w:bidi="ar-SA"/>
        </w:rPr>
        <w:t xml:space="preserve">Section 4.2.1—16 </w:t>
      </w:r>
      <w:r w:rsidR="009B3DBC">
        <w:rPr>
          <w:rFonts w:eastAsia="Calibri" w:cs="Arial"/>
          <w:bCs/>
          <w:szCs w:val="22"/>
          <w:lang w:val="en-AU" w:bidi="ar-SA"/>
        </w:rPr>
        <w:t>sets out a requirement related to implementing a documented f</w:t>
      </w:r>
      <w:r w:rsidR="009B3DBC" w:rsidRPr="009B3DBC">
        <w:rPr>
          <w:rFonts w:eastAsia="Calibri" w:cs="Arial"/>
          <w:bCs/>
          <w:szCs w:val="22"/>
          <w:lang w:val="en-AU" w:bidi="ar-SA"/>
        </w:rPr>
        <w:t>ood safety management system that effectively control the hazards</w:t>
      </w:r>
      <w:r w:rsidR="009B3DBC">
        <w:rPr>
          <w:rFonts w:eastAsia="Calibri" w:cs="Arial"/>
          <w:bCs/>
          <w:szCs w:val="22"/>
          <w:lang w:val="en-AU" w:bidi="ar-SA"/>
        </w:rPr>
        <w:t xml:space="preserve">, with which food businesses engaged in the </w:t>
      </w:r>
      <w:r w:rsidR="009B3DBC" w:rsidRPr="009B3DBC">
        <w:rPr>
          <w:rFonts w:eastAsia="Calibri" w:cs="Arial"/>
          <w:bCs/>
          <w:szCs w:val="22"/>
          <w:lang w:val="en-AU" w:bidi="ar-SA"/>
        </w:rPr>
        <w:t>primary production or processing of, or manufacturing activities concerning, bivalve molluscs</w:t>
      </w:r>
      <w:r w:rsidR="009B3DBC">
        <w:rPr>
          <w:rFonts w:eastAsia="Calibri" w:cs="Arial"/>
          <w:bCs/>
          <w:szCs w:val="22"/>
          <w:lang w:val="en-AU" w:bidi="ar-SA"/>
        </w:rPr>
        <w:t xml:space="preserve"> must comply. This provision </w:t>
      </w:r>
      <w:r w:rsidR="00CF2CC5">
        <w:rPr>
          <w:rFonts w:eastAsia="Calibri" w:cs="Arial"/>
          <w:bCs/>
          <w:szCs w:val="22"/>
          <w:lang w:val="en-AU" w:bidi="ar-SA"/>
        </w:rPr>
        <w:t>incorporates by reference</w:t>
      </w:r>
      <w:r w:rsidR="009B3DBC">
        <w:rPr>
          <w:rFonts w:eastAsia="Calibri" w:cs="Arial"/>
          <w:bCs/>
          <w:szCs w:val="22"/>
          <w:lang w:val="en-AU" w:bidi="ar-SA"/>
        </w:rPr>
        <w:t xml:space="preserve"> certain publications documenting food safety management systems which relevant food businesses may implement, thereby complying with the requirement</w:t>
      </w:r>
      <w:r w:rsidR="007E00C2">
        <w:rPr>
          <w:rFonts w:eastAsia="Calibri" w:cs="Arial"/>
          <w:bCs/>
          <w:szCs w:val="22"/>
          <w:lang w:val="en-AU" w:bidi="ar-SA"/>
        </w:rPr>
        <w:t>.</w:t>
      </w:r>
      <w:r w:rsidR="000269BA">
        <w:rPr>
          <w:rFonts w:eastAsia="Calibri" w:cs="Arial"/>
          <w:bCs/>
          <w:szCs w:val="22"/>
          <w:lang w:val="en-AU" w:bidi="ar-SA"/>
        </w:rPr>
        <w:t xml:space="preserve"> </w:t>
      </w:r>
      <w:r w:rsidR="00496276">
        <w:rPr>
          <w:rFonts w:eastAsia="Calibri" w:cs="Arial"/>
          <w:bCs/>
          <w:szCs w:val="22"/>
          <w:lang w:val="en-AU" w:bidi="ar-SA"/>
        </w:rPr>
        <w:t>The</w:t>
      </w:r>
      <w:r w:rsidR="003A4CAC">
        <w:rPr>
          <w:rFonts w:eastAsia="Calibri" w:cs="Arial"/>
          <w:bCs/>
          <w:szCs w:val="22"/>
          <w:lang w:val="en-AU" w:bidi="ar-SA"/>
        </w:rPr>
        <w:t>se</w:t>
      </w:r>
      <w:r w:rsidR="00496276">
        <w:rPr>
          <w:rFonts w:eastAsia="Calibri" w:cs="Arial"/>
          <w:bCs/>
          <w:szCs w:val="22"/>
          <w:lang w:val="en-AU" w:bidi="ar-SA"/>
        </w:rPr>
        <w:t xml:space="preserve"> publications include</w:t>
      </w:r>
      <w:r w:rsidR="000269BA">
        <w:rPr>
          <w:rFonts w:eastAsia="Calibri" w:cs="Arial"/>
          <w:bCs/>
          <w:szCs w:val="22"/>
          <w:lang w:val="en-AU" w:bidi="ar-SA"/>
        </w:rPr>
        <w:t xml:space="preserve"> the </w:t>
      </w:r>
      <w:r w:rsidR="001C68F7" w:rsidRPr="00E0099E">
        <w:rPr>
          <w:i/>
          <w:iCs/>
        </w:rPr>
        <w:t xml:space="preserve">Export Control (Fish and Fish Products) Orders </w:t>
      </w:r>
      <w:r w:rsidR="001C68F7" w:rsidRPr="00E0099E">
        <w:rPr>
          <w:rFonts w:cs="Arial"/>
          <w:i/>
          <w:iCs/>
          <w:szCs w:val="22"/>
        </w:rPr>
        <w:t xml:space="preserve">2005 </w:t>
      </w:r>
      <w:r w:rsidR="001C68F7" w:rsidRPr="00344476">
        <w:rPr>
          <w:rFonts w:cs="Arial"/>
          <w:szCs w:val="22"/>
        </w:rPr>
        <w:t xml:space="preserve">made under the </w:t>
      </w:r>
      <w:r w:rsidR="00344476" w:rsidRPr="00E0099E">
        <w:rPr>
          <w:rFonts w:cs="Arial"/>
          <w:i/>
          <w:iCs/>
          <w:szCs w:val="22"/>
          <w:shd w:val="clear" w:color="auto" w:fill="FFFFFF"/>
        </w:rPr>
        <w:t>Export Control (Orders) Regulations 1982</w:t>
      </w:r>
      <w:r w:rsidR="00344476" w:rsidRPr="00E0099E">
        <w:rPr>
          <w:rFonts w:cs="Arial"/>
          <w:szCs w:val="22"/>
          <w:shd w:val="clear" w:color="auto" w:fill="FFFFFF"/>
        </w:rPr>
        <w:t xml:space="preserve"> (</w:t>
      </w:r>
      <w:proofErr w:type="spellStart"/>
      <w:r w:rsidR="00344476" w:rsidRPr="00E0099E">
        <w:rPr>
          <w:rFonts w:cs="Arial"/>
          <w:szCs w:val="22"/>
          <w:shd w:val="clear" w:color="auto" w:fill="FFFFFF"/>
        </w:rPr>
        <w:t>Cth</w:t>
      </w:r>
      <w:proofErr w:type="spellEnd"/>
      <w:r w:rsidR="00344476" w:rsidRPr="00E0099E">
        <w:rPr>
          <w:rFonts w:cs="Arial"/>
          <w:szCs w:val="22"/>
          <w:shd w:val="clear" w:color="auto" w:fill="FFFFFF"/>
        </w:rPr>
        <w:t>).</w:t>
      </w:r>
      <w:r w:rsidR="005B1EE5">
        <w:rPr>
          <w:rFonts w:cs="Arial"/>
          <w:szCs w:val="22"/>
          <w:shd w:val="clear" w:color="auto" w:fill="FFFFFF"/>
        </w:rPr>
        <w:t xml:space="preserve"> </w:t>
      </w:r>
    </w:p>
    <w:p w14:paraId="3B353ACE" w14:textId="77777777" w:rsidR="00F771AE" w:rsidRDefault="00F771AE" w:rsidP="00222C7F">
      <w:pPr>
        <w:widowControl/>
        <w:autoSpaceDE w:val="0"/>
        <w:autoSpaceDN w:val="0"/>
        <w:adjustRightInd w:val="0"/>
        <w:rPr>
          <w:rFonts w:cs="Arial"/>
          <w:szCs w:val="22"/>
          <w:shd w:val="clear" w:color="auto" w:fill="FFFFFF"/>
        </w:rPr>
      </w:pPr>
    </w:p>
    <w:p w14:paraId="5B08F82B" w14:textId="506310B3" w:rsidR="003A4CAC" w:rsidRDefault="005B1EE5" w:rsidP="00222C7F">
      <w:pPr>
        <w:widowControl/>
        <w:autoSpaceDE w:val="0"/>
        <w:autoSpaceDN w:val="0"/>
        <w:adjustRightInd w:val="0"/>
        <w:rPr>
          <w:rFonts w:eastAsia="Calibri" w:cs="Arial"/>
          <w:bCs/>
          <w:szCs w:val="22"/>
          <w:lang w:val="en-AU" w:bidi="ar-SA"/>
        </w:rPr>
      </w:pPr>
      <w:r>
        <w:rPr>
          <w:rFonts w:cs="Arial"/>
          <w:szCs w:val="22"/>
          <w:shd w:val="clear" w:color="auto" w:fill="FFFFFF"/>
        </w:rPr>
        <w:t xml:space="preserve">The 2005 Orders have been replaced by </w:t>
      </w:r>
      <w:r w:rsidRPr="005B1EE5">
        <w:rPr>
          <w:rFonts w:cs="Arial"/>
          <w:szCs w:val="22"/>
          <w:shd w:val="clear" w:color="auto" w:fill="FFFFFF"/>
        </w:rPr>
        <w:t xml:space="preserve">the </w:t>
      </w:r>
      <w:r w:rsidRPr="00E0099E">
        <w:rPr>
          <w:rFonts w:cs="Arial"/>
          <w:i/>
          <w:iCs/>
          <w:szCs w:val="22"/>
          <w:lang w:eastAsia="en-AU"/>
        </w:rPr>
        <w:t>Export Control (Fish and Fish Products) Rules 2021</w:t>
      </w:r>
      <w:r w:rsidRPr="00E0099E">
        <w:rPr>
          <w:rFonts w:cs="Arial"/>
          <w:szCs w:val="22"/>
          <w:lang w:eastAsia="en-AU"/>
        </w:rPr>
        <w:t>.</w:t>
      </w:r>
      <w:r>
        <w:rPr>
          <w:rFonts w:cs="Arial"/>
          <w:szCs w:val="22"/>
          <w:lang w:eastAsia="en-AU"/>
        </w:rPr>
        <w:t xml:space="preserve"> </w:t>
      </w:r>
      <w:r>
        <w:t xml:space="preserve">The draft variation would amend </w:t>
      </w:r>
      <w:r>
        <w:rPr>
          <w:rFonts w:eastAsia="Calibri" w:cs="Arial"/>
          <w:bCs/>
          <w:szCs w:val="22"/>
          <w:lang w:val="en-AU" w:bidi="ar-SA"/>
        </w:rPr>
        <w:t xml:space="preserve">section 4.2.1—16 to refer instead to the 2021 </w:t>
      </w:r>
      <w:r>
        <w:rPr>
          <w:rFonts w:cs="Arial"/>
          <w:color w:val="000000"/>
          <w:szCs w:val="22"/>
          <w:shd w:val="clear" w:color="auto" w:fill="FFFFFF"/>
        </w:rPr>
        <w:t>Rules.</w:t>
      </w:r>
      <w:r w:rsidRPr="005B1EE5" w:rsidDel="003A4CAC">
        <w:rPr>
          <w:rFonts w:eastAsia="Calibri" w:cs="Arial"/>
          <w:bCs/>
          <w:szCs w:val="22"/>
          <w:lang w:val="en-AU" w:bidi="ar-SA"/>
        </w:rPr>
        <w:t xml:space="preserve"> </w:t>
      </w:r>
    </w:p>
    <w:p w14:paraId="5B367EAC" w14:textId="77777777" w:rsidR="00B35E34" w:rsidRDefault="00B35E34" w:rsidP="00222C7F">
      <w:pPr>
        <w:widowControl/>
        <w:autoSpaceDE w:val="0"/>
        <w:autoSpaceDN w:val="0"/>
        <w:adjustRightInd w:val="0"/>
        <w:rPr>
          <w:rFonts w:cs="Arial"/>
          <w:color w:val="000000"/>
          <w:szCs w:val="22"/>
          <w:shd w:val="clear" w:color="auto" w:fill="FFFFFF"/>
        </w:rPr>
      </w:pPr>
    </w:p>
    <w:p w14:paraId="67CAAAD2" w14:textId="12FD3E4C" w:rsidR="005B1EE5" w:rsidRPr="005B1EE5" w:rsidRDefault="005B1EE5" w:rsidP="00222C7F">
      <w:pPr>
        <w:widowControl/>
        <w:autoSpaceDE w:val="0"/>
        <w:autoSpaceDN w:val="0"/>
        <w:adjustRightInd w:val="0"/>
        <w:rPr>
          <w:rFonts w:eastAsia="Calibri" w:cs="Arial"/>
          <w:bCs/>
          <w:szCs w:val="22"/>
          <w:lang w:val="en-AU" w:bidi="ar-SA"/>
        </w:rPr>
      </w:pPr>
      <w:r>
        <w:rPr>
          <w:rFonts w:cs="Arial"/>
          <w:color w:val="000000"/>
          <w:szCs w:val="22"/>
          <w:shd w:val="clear" w:color="auto" w:fill="FFFFFF"/>
        </w:rPr>
        <w:t xml:space="preserve">A copy of </w:t>
      </w:r>
      <w:r w:rsidRPr="005B1EE5">
        <w:rPr>
          <w:rFonts w:cs="Arial"/>
          <w:szCs w:val="22"/>
          <w:shd w:val="clear" w:color="auto" w:fill="FFFFFF"/>
        </w:rPr>
        <w:t xml:space="preserve">the </w:t>
      </w:r>
      <w:r w:rsidR="00E45728">
        <w:rPr>
          <w:rFonts w:eastAsia="Calibri" w:cs="Arial"/>
          <w:bCs/>
          <w:szCs w:val="22"/>
          <w:lang w:val="en-AU" w:bidi="ar-SA"/>
        </w:rPr>
        <w:t xml:space="preserve">2021 </w:t>
      </w:r>
      <w:r w:rsidR="00E45728">
        <w:rPr>
          <w:rFonts w:cs="Arial"/>
          <w:color w:val="000000"/>
          <w:szCs w:val="22"/>
          <w:shd w:val="clear" w:color="auto" w:fill="FFFFFF"/>
        </w:rPr>
        <w:t xml:space="preserve">Rules </w:t>
      </w:r>
      <w:r>
        <w:rPr>
          <w:rFonts w:cs="Arial"/>
          <w:color w:val="000000"/>
          <w:szCs w:val="22"/>
          <w:shd w:val="clear" w:color="auto" w:fill="FFFFFF"/>
        </w:rPr>
        <w:t xml:space="preserve">is </w:t>
      </w:r>
      <w:r w:rsidR="00B35E34">
        <w:rPr>
          <w:rFonts w:cs="Arial"/>
          <w:color w:val="000000"/>
          <w:szCs w:val="22"/>
          <w:shd w:val="clear" w:color="auto" w:fill="FFFFFF"/>
        </w:rPr>
        <w:t xml:space="preserve">freely and publicly </w:t>
      </w:r>
      <w:r>
        <w:rPr>
          <w:rFonts w:cs="Arial"/>
          <w:color w:val="000000"/>
          <w:szCs w:val="22"/>
          <w:shd w:val="clear" w:color="auto" w:fill="FFFFFF"/>
        </w:rPr>
        <w:t>available online at</w:t>
      </w:r>
      <w:r w:rsidR="0038736C">
        <w:rPr>
          <w:rFonts w:cs="Arial"/>
          <w:color w:val="000000"/>
          <w:szCs w:val="22"/>
          <w:shd w:val="clear" w:color="auto" w:fill="FFFFFF"/>
        </w:rPr>
        <w:t xml:space="preserve"> </w:t>
      </w:r>
      <w:hyperlink r:id="rId34" w:history="1">
        <w:r w:rsidR="0038736C" w:rsidRPr="00495F5A">
          <w:rPr>
            <w:rStyle w:val="Hyperlink"/>
            <w:rFonts w:cs="Arial"/>
            <w:szCs w:val="22"/>
            <w:shd w:val="clear" w:color="auto" w:fill="FFFFFF"/>
          </w:rPr>
          <w:t>https://www.legislation.gov.au/Details/F2021L00317</w:t>
        </w:r>
      </w:hyperlink>
      <w:r w:rsidR="0038736C">
        <w:rPr>
          <w:rFonts w:cs="Arial"/>
          <w:color w:val="000000"/>
          <w:szCs w:val="22"/>
          <w:shd w:val="clear" w:color="auto" w:fill="FFFFFF"/>
        </w:rPr>
        <w:t xml:space="preserve">. </w:t>
      </w:r>
    </w:p>
    <w:p w14:paraId="42AE82FF" w14:textId="3BE4495A" w:rsidR="000269BA" w:rsidRDefault="000269BA" w:rsidP="00222C7F">
      <w:pPr>
        <w:widowControl/>
        <w:autoSpaceDE w:val="0"/>
        <w:autoSpaceDN w:val="0"/>
        <w:adjustRightInd w:val="0"/>
        <w:rPr>
          <w:rFonts w:eastAsia="Calibri" w:cs="Arial"/>
          <w:bCs/>
          <w:szCs w:val="22"/>
          <w:lang w:val="en-AU" w:bidi="ar-SA"/>
        </w:rPr>
      </w:pPr>
    </w:p>
    <w:p w14:paraId="3E025C69" w14:textId="77777777" w:rsidR="007D1F00" w:rsidRDefault="007D1F00" w:rsidP="00222C7F">
      <w:pPr>
        <w:widowControl/>
        <w:autoSpaceDE w:val="0"/>
        <w:autoSpaceDN w:val="0"/>
        <w:adjustRightInd w:val="0"/>
        <w:rPr>
          <w:rFonts w:eastAsia="Calibri" w:cs="Arial"/>
          <w:bCs/>
          <w:i/>
          <w:iCs/>
          <w:szCs w:val="22"/>
          <w:lang w:val="en-AU" w:bidi="ar-SA"/>
        </w:rPr>
      </w:pPr>
    </w:p>
    <w:p w14:paraId="6AB363AD" w14:textId="77777777" w:rsidR="0085189A" w:rsidRDefault="0085189A" w:rsidP="00222C7F">
      <w:pPr>
        <w:widowControl/>
        <w:autoSpaceDE w:val="0"/>
        <w:autoSpaceDN w:val="0"/>
        <w:adjustRightInd w:val="0"/>
        <w:rPr>
          <w:rFonts w:eastAsia="Calibri" w:cs="Arial"/>
          <w:bCs/>
          <w:i/>
          <w:iCs/>
          <w:szCs w:val="22"/>
          <w:lang w:val="en-AU" w:bidi="ar-SA"/>
        </w:rPr>
      </w:pPr>
    </w:p>
    <w:p w14:paraId="661F3064" w14:textId="14325A00" w:rsidR="006B7E65" w:rsidRDefault="006B7E65" w:rsidP="00222C7F">
      <w:pPr>
        <w:widowControl/>
        <w:autoSpaceDE w:val="0"/>
        <w:autoSpaceDN w:val="0"/>
        <w:adjustRightInd w:val="0"/>
        <w:rPr>
          <w:rFonts w:eastAsia="Calibri" w:cs="Arial"/>
          <w:bCs/>
          <w:i/>
          <w:iCs/>
          <w:szCs w:val="22"/>
          <w:lang w:val="en-AU" w:bidi="ar-SA"/>
        </w:rPr>
      </w:pPr>
      <w:r>
        <w:rPr>
          <w:rFonts w:eastAsia="Calibri" w:cs="Arial"/>
          <w:bCs/>
          <w:i/>
          <w:iCs/>
          <w:szCs w:val="22"/>
          <w:lang w:val="en-AU" w:bidi="ar-SA"/>
        </w:rPr>
        <w:t>Standard 4.2.2</w:t>
      </w:r>
    </w:p>
    <w:p w14:paraId="56CDBA05" w14:textId="77777777" w:rsidR="00505754" w:rsidRDefault="00505754" w:rsidP="00222C7F">
      <w:pPr>
        <w:widowControl/>
        <w:autoSpaceDE w:val="0"/>
        <w:autoSpaceDN w:val="0"/>
        <w:adjustRightInd w:val="0"/>
        <w:rPr>
          <w:rFonts w:eastAsia="Calibri" w:cs="Arial"/>
          <w:bCs/>
          <w:i/>
          <w:iCs/>
          <w:szCs w:val="22"/>
          <w:lang w:val="en-AU" w:bidi="ar-SA"/>
        </w:rPr>
      </w:pPr>
      <w:r>
        <w:rPr>
          <w:rFonts w:eastAsia="Calibri" w:cs="Arial"/>
          <w:bCs/>
          <w:i/>
          <w:iCs/>
          <w:szCs w:val="22"/>
          <w:lang w:val="en-AU" w:bidi="ar-SA"/>
        </w:rPr>
        <w:t xml:space="preserve"> </w:t>
      </w:r>
    </w:p>
    <w:p w14:paraId="1E8F86E0" w14:textId="2FAC0788" w:rsidR="006B7E65" w:rsidRDefault="00505754" w:rsidP="00222C7F">
      <w:pPr>
        <w:widowControl/>
        <w:autoSpaceDE w:val="0"/>
        <w:autoSpaceDN w:val="0"/>
        <w:adjustRightInd w:val="0"/>
        <w:rPr>
          <w:rFonts w:cs="Arial"/>
          <w:i/>
          <w:iCs/>
          <w:color w:val="000000"/>
          <w:szCs w:val="22"/>
          <w:shd w:val="clear" w:color="auto" w:fill="FFFFFF"/>
        </w:rPr>
      </w:pPr>
      <w:r w:rsidRPr="00505754">
        <w:rPr>
          <w:rFonts w:eastAsia="Calibri" w:cs="Arial"/>
          <w:bCs/>
          <w:szCs w:val="22"/>
          <w:lang w:val="en-AU" w:bidi="ar-SA"/>
        </w:rPr>
        <w:t>Standard 4.2.2 contains an editorial Note to clause 14 of that Standard.</w:t>
      </w:r>
      <w:r>
        <w:rPr>
          <w:rFonts w:eastAsia="Calibri" w:cs="Arial"/>
          <w:bCs/>
          <w:szCs w:val="22"/>
          <w:lang w:val="en-AU" w:bidi="ar-SA"/>
        </w:rPr>
        <w:t xml:space="preserve"> The </w:t>
      </w:r>
      <w:r w:rsidR="00FC1BC2">
        <w:rPr>
          <w:rFonts w:eastAsia="Calibri" w:cs="Arial"/>
          <w:bCs/>
          <w:szCs w:val="22"/>
          <w:lang w:val="en-AU" w:bidi="ar-SA"/>
        </w:rPr>
        <w:t>N</w:t>
      </w:r>
      <w:r>
        <w:rPr>
          <w:rFonts w:eastAsia="Calibri" w:cs="Arial"/>
          <w:bCs/>
          <w:szCs w:val="22"/>
          <w:lang w:val="en-AU" w:bidi="ar-SA"/>
        </w:rPr>
        <w:t xml:space="preserve">ote </w:t>
      </w:r>
      <w:r w:rsidR="004875AA">
        <w:rPr>
          <w:rFonts w:eastAsia="Calibri" w:cs="Arial"/>
          <w:bCs/>
          <w:szCs w:val="22"/>
          <w:lang w:val="en-AU" w:bidi="ar-SA"/>
        </w:rPr>
        <w:t xml:space="preserve">refers readers to </w:t>
      </w:r>
      <w:r w:rsidR="004875AA">
        <w:rPr>
          <w:rFonts w:cs="Arial"/>
          <w:color w:val="000000"/>
          <w:szCs w:val="22"/>
          <w:shd w:val="clear" w:color="auto" w:fill="FFFFFF"/>
        </w:rPr>
        <w:t xml:space="preserve">the 2004 edition of the </w:t>
      </w:r>
      <w:r w:rsidR="004875AA">
        <w:rPr>
          <w:rFonts w:cs="Arial"/>
          <w:i/>
          <w:iCs/>
          <w:color w:val="000000"/>
          <w:szCs w:val="22"/>
          <w:shd w:val="clear" w:color="auto" w:fill="FFFFFF"/>
        </w:rPr>
        <w:t xml:space="preserve">Australian Drinking Water Guidelines </w:t>
      </w:r>
      <w:r w:rsidR="004875AA">
        <w:rPr>
          <w:rFonts w:cs="Arial"/>
          <w:color w:val="000000"/>
          <w:szCs w:val="22"/>
          <w:shd w:val="clear" w:color="auto" w:fill="FFFFFF"/>
        </w:rPr>
        <w:t>issued by the National Health and Medical Research Council of Australia (NHMRC).</w:t>
      </w:r>
      <w:r w:rsidR="004875AA">
        <w:rPr>
          <w:rFonts w:eastAsia="Calibri" w:cs="Arial"/>
          <w:bCs/>
          <w:szCs w:val="22"/>
          <w:lang w:val="en-AU" w:bidi="ar-SA"/>
        </w:rPr>
        <w:t xml:space="preserve"> The Guidelines provide guidance on what can constitute acceptable drinking water. The NMHRC has published a </w:t>
      </w:r>
      <w:r w:rsidR="008051A4">
        <w:rPr>
          <w:rFonts w:eastAsia="Calibri" w:cs="Arial"/>
          <w:bCs/>
          <w:szCs w:val="22"/>
          <w:lang w:val="en-AU" w:bidi="ar-SA"/>
        </w:rPr>
        <w:t>2011</w:t>
      </w:r>
      <w:r w:rsidR="004875AA">
        <w:rPr>
          <w:rFonts w:eastAsia="Calibri" w:cs="Arial"/>
          <w:bCs/>
          <w:szCs w:val="22"/>
          <w:lang w:val="en-AU" w:bidi="ar-SA"/>
        </w:rPr>
        <w:t xml:space="preserve"> edition of </w:t>
      </w:r>
      <w:r w:rsidR="008051A4">
        <w:rPr>
          <w:rFonts w:eastAsia="Calibri" w:cs="Arial"/>
          <w:bCs/>
          <w:szCs w:val="22"/>
          <w:lang w:val="en-AU" w:bidi="ar-SA"/>
        </w:rPr>
        <w:t>the Guidelines</w:t>
      </w:r>
      <w:r w:rsidR="004875AA">
        <w:rPr>
          <w:rFonts w:eastAsia="Calibri" w:cs="Arial"/>
          <w:bCs/>
          <w:szCs w:val="22"/>
          <w:lang w:val="en-AU" w:bidi="ar-SA"/>
        </w:rPr>
        <w:t xml:space="preserve">. </w:t>
      </w:r>
      <w:r w:rsidR="004875AA">
        <w:t xml:space="preserve">The draft variation would amend </w:t>
      </w:r>
      <w:r w:rsidR="008051A4">
        <w:rPr>
          <w:rFonts w:eastAsia="Calibri" w:cs="Arial"/>
          <w:bCs/>
          <w:szCs w:val="22"/>
          <w:lang w:val="en-AU" w:bidi="ar-SA"/>
        </w:rPr>
        <w:t xml:space="preserve">the </w:t>
      </w:r>
      <w:r w:rsidR="002102A7">
        <w:rPr>
          <w:rFonts w:eastAsia="Calibri" w:cs="Arial"/>
          <w:bCs/>
          <w:szCs w:val="22"/>
          <w:lang w:val="en-AU" w:bidi="ar-SA"/>
        </w:rPr>
        <w:t xml:space="preserve">editorial </w:t>
      </w:r>
      <w:r w:rsidR="00FC1BC2">
        <w:rPr>
          <w:rFonts w:eastAsia="Calibri" w:cs="Arial"/>
          <w:bCs/>
          <w:szCs w:val="22"/>
          <w:lang w:val="en-AU" w:bidi="ar-SA"/>
        </w:rPr>
        <w:lastRenderedPageBreak/>
        <w:t>N</w:t>
      </w:r>
      <w:r w:rsidR="008051A4">
        <w:rPr>
          <w:rFonts w:eastAsia="Calibri" w:cs="Arial"/>
          <w:bCs/>
          <w:szCs w:val="22"/>
          <w:lang w:val="en-AU" w:bidi="ar-SA"/>
        </w:rPr>
        <w:t>ote to clause 14 of</w:t>
      </w:r>
      <w:r w:rsidR="004875AA">
        <w:rPr>
          <w:rFonts w:eastAsia="Calibri" w:cs="Arial"/>
          <w:bCs/>
          <w:szCs w:val="22"/>
          <w:lang w:val="en-AU" w:bidi="ar-SA"/>
        </w:rPr>
        <w:t xml:space="preserve"> Standard </w:t>
      </w:r>
      <w:r w:rsidR="008051A4">
        <w:rPr>
          <w:rFonts w:eastAsia="Calibri" w:cs="Arial"/>
          <w:bCs/>
          <w:szCs w:val="22"/>
          <w:lang w:val="en-AU" w:bidi="ar-SA"/>
        </w:rPr>
        <w:t>4.2.2</w:t>
      </w:r>
      <w:r w:rsidR="004875AA">
        <w:rPr>
          <w:rFonts w:eastAsia="Calibri" w:cs="Arial"/>
          <w:bCs/>
          <w:szCs w:val="22"/>
          <w:lang w:val="en-AU" w:bidi="ar-SA"/>
        </w:rPr>
        <w:t xml:space="preserve">  to refer instead to the </w:t>
      </w:r>
      <w:r w:rsidR="008051A4">
        <w:rPr>
          <w:rFonts w:eastAsia="Calibri" w:cs="Arial"/>
          <w:bCs/>
          <w:szCs w:val="22"/>
          <w:lang w:val="en-AU" w:bidi="ar-SA"/>
        </w:rPr>
        <w:t>2011</w:t>
      </w:r>
      <w:r w:rsidR="004875AA">
        <w:rPr>
          <w:rFonts w:eastAsia="Calibri" w:cs="Arial"/>
          <w:bCs/>
          <w:szCs w:val="22"/>
          <w:lang w:val="en-AU" w:bidi="ar-SA"/>
        </w:rPr>
        <w:t xml:space="preserve"> edition of the </w:t>
      </w:r>
      <w:r w:rsidR="008051A4">
        <w:rPr>
          <w:rFonts w:cs="Arial"/>
          <w:i/>
          <w:iCs/>
          <w:color w:val="000000"/>
          <w:szCs w:val="22"/>
          <w:shd w:val="clear" w:color="auto" w:fill="FFFFFF"/>
        </w:rPr>
        <w:t>Australian Drinking Water Guidelines.</w:t>
      </w:r>
    </w:p>
    <w:p w14:paraId="7FFE4922" w14:textId="77777777" w:rsidR="008051A4" w:rsidRDefault="008051A4" w:rsidP="00222C7F">
      <w:pPr>
        <w:widowControl/>
        <w:autoSpaceDE w:val="0"/>
        <w:autoSpaceDN w:val="0"/>
        <w:adjustRightInd w:val="0"/>
        <w:rPr>
          <w:rFonts w:cs="Arial"/>
          <w:i/>
          <w:iCs/>
          <w:color w:val="000000"/>
          <w:szCs w:val="22"/>
          <w:shd w:val="clear" w:color="auto" w:fill="FFFFFF"/>
        </w:rPr>
      </w:pPr>
    </w:p>
    <w:p w14:paraId="0CAD4971" w14:textId="4BEB2F42" w:rsidR="008051A4" w:rsidRPr="00E6409D" w:rsidRDefault="008051A4" w:rsidP="008051A4">
      <w:pPr>
        <w:widowControl/>
        <w:autoSpaceDE w:val="0"/>
        <w:autoSpaceDN w:val="0"/>
        <w:adjustRightInd w:val="0"/>
        <w:rPr>
          <w:rFonts w:eastAsia="Calibri" w:cs="Arial"/>
          <w:bCs/>
          <w:szCs w:val="22"/>
          <w:lang w:val="en-AU" w:bidi="ar-SA"/>
        </w:rPr>
      </w:pPr>
      <w:r>
        <w:rPr>
          <w:bCs/>
          <w:lang w:val="en-AU" w:eastAsia="en-GB" w:bidi="ar-SA"/>
        </w:rPr>
        <w:t xml:space="preserve">The </w:t>
      </w:r>
      <w:r w:rsidR="00FC1BC2">
        <w:rPr>
          <w:rFonts w:eastAsia="Calibri" w:cs="Arial"/>
          <w:bCs/>
          <w:szCs w:val="22"/>
          <w:lang w:val="en-AU" w:bidi="ar-SA"/>
        </w:rPr>
        <w:t>Note</w:t>
      </w:r>
      <w:r>
        <w:rPr>
          <w:rFonts w:eastAsia="Calibri" w:cs="Arial"/>
          <w:bCs/>
          <w:szCs w:val="22"/>
          <w:lang w:val="en-AU" w:bidi="ar-SA"/>
        </w:rPr>
        <w:t xml:space="preserve"> </w:t>
      </w:r>
      <w:r w:rsidR="009B21D6">
        <w:rPr>
          <w:bCs/>
          <w:lang w:val="en-AU" w:eastAsia="en-GB" w:bidi="ar-SA"/>
        </w:rPr>
        <w:t xml:space="preserve">does not incorporate </w:t>
      </w:r>
      <w:r w:rsidR="009B21D6">
        <w:rPr>
          <w:rFonts w:cs="Arial"/>
          <w:i/>
          <w:iCs/>
          <w:color w:val="000000"/>
          <w:szCs w:val="22"/>
          <w:shd w:val="clear" w:color="auto" w:fill="FFFFFF"/>
        </w:rPr>
        <w:t>Australian Drinking Water Guidelines</w:t>
      </w:r>
      <w:r w:rsidR="009B21D6">
        <w:rPr>
          <w:rFonts w:eastAsia="Calibri" w:cs="Arial"/>
          <w:bCs/>
          <w:szCs w:val="22"/>
          <w:lang w:val="en-AU" w:bidi="ar-SA"/>
        </w:rPr>
        <w:t xml:space="preserve"> by reference. The </w:t>
      </w:r>
      <w:r w:rsidR="00FC1BC2">
        <w:rPr>
          <w:rFonts w:eastAsia="Calibri" w:cs="Arial"/>
          <w:bCs/>
          <w:szCs w:val="22"/>
          <w:lang w:val="en-AU" w:bidi="ar-SA"/>
        </w:rPr>
        <w:t>N</w:t>
      </w:r>
      <w:r w:rsidR="009B21D6">
        <w:rPr>
          <w:rFonts w:eastAsia="Calibri" w:cs="Arial"/>
          <w:bCs/>
          <w:szCs w:val="22"/>
          <w:lang w:val="en-AU" w:bidi="ar-SA"/>
        </w:rPr>
        <w:t xml:space="preserve">ote </w:t>
      </w:r>
      <w:r w:rsidR="009B088E">
        <w:rPr>
          <w:rFonts w:eastAsia="Calibri" w:cs="Arial"/>
          <w:bCs/>
          <w:szCs w:val="22"/>
          <w:lang w:val="en-AU" w:bidi="ar-SA"/>
        </w:rPr>
        <w:t>h</w:t>
      </w:r>
      <w:r>
        <w:rPr>
          <w:bCs/>
          <w:lang w:val="en-AU" w:eastAsia="en-GB" w:bidi="ar-SA"/>
        </w:rPr>
        <w:t xml:space="preserve">as no legal effect. Nor does it impose or set any requirement. Editorial </w:t>
      </w:r>
      <w:r w:rsidR="00FC10D9">
        <w:rPr>
          <w:bCs/>
          <w:lang w:val="en-AU" w:eastAsia="en-GB" w:bidi="ar-SA"/>
        </w:rPr>
        <w:t>N</w:t>
      </w:r>
      <w:r>
        <w:rPr>
          <w:bCs/>
          <w:lang w:val="en-AU" w:eastAsia="en-GB" w:bidi="ar-SA"/>
        </w:rPr>
        <w:t xml:space="preserve">otes do not form part of the Code (see the definition of the term ‘standard’ in subsection 4(1) of the FSANZ Act). </w:t>
      </w:r>
    </w:p>
    <w:p w14:paraId="6EE73190" w14:textId="77777777" w:rsidR="008051A4" w:rsidRDefault="008051A4" w:rsidP="008051A4">
      <w:pPr>
        <w:widowControl/>
        <w:autoSpaceDE w:val="0"/>
        <w:autoSpaceDN w:val="0"/>
        <w:adjustRightInd w:val="0"/>
        <w:rPr>
          <w:bCs/>
          <w:lang w:val="en-AU" w:eastAsia="en-GB" w:bidi="ar-SA"/>
        </w:rPr>
      </w:pPr>
    </w:p>
    <w:p w14:paraId="502A9545" w14:textId="26F310E2" w:rsidR="008051A4" w:rsidRDefault="008051A4" w:rsidP="008051A4">
      <w:pPr>
        <w:widowControl/>
        <w:autoSpaceDE w:val="0"/>
        <w:autoSpaceDN w:val="0"/>
        <w:adjustRightInd w:val="0"/>
        <w:rPr>
          <w:bCs/>
          <w:lang w:val="en-AU" w:eastAsia="en-GB" w:bidi="ar-SA"/>
        </w:rPr>
      </w:pPr>
      <w:r>
        <w:rPr>
          <w:bCs/>
          <w:lang w:val="en-AU" w:eastAsia="en-GB" w:bidi="ar-SA"/>
        </w:rPr>
        <w:t xml:space="preserve">The 2011 edition of the </w:t>
      </w:r>
      <w:r>
        <w:rPr>
          <w:rFonts w:cs="Arial"/>
          <w:i/>
          <w:iCs/>
          <w:color w:val="000000"/>
          <w:szCs w:val="22"/>
          <w:shd w:val="clear" w:color="auto" w:fill="FFFFFF"/>
        </w:rPr>
        <w:t xml:space="preserve">Australian Drinking Water Guidelines </w:t>
      </w:r>
      <w:r>
        <w:rPr>
          <w:bCs/>
          <w:lang w:val="en-AU" w:eastAsia="en-GB" w:bidi="ar-SA"/>
        </w:rPr>
        <w:t>is</w:t>
      </w:r>
      <w:r w:rsidRPr="00FF16BA">
        <w:rPr>
          <w:bCs/>
          <w:lang w:val="en-AU" w:eastAsia="en-GB" w:bidi="ar-SA"/>
        </w:rPr>
        <w:t xml:space="preserve"> </w:t>
      </w:r>
      <w:r w:rsidR="00B35E34">
        <w:rPr>
          <w:rFonts w:cs="Arial"/>
          <w:color w:val="000000"/>
          <w:szCs w:val="22"/>
          <w:shd w:val="clear" w:color="auto" w:fill="FFFFFF"/>
        </w:rPr>
        <w:t xml:space="preserve">freely and publicly </w:t>
      </w:r>
      <w:r w:rsidR="00390BAD">
        <w:rPr>
          <w:bCs/>
          <w:lang w:val="en-AU" w:eastAsia="en-GB" w:bidi="ar-SA"/>
        </w:rPr>
        <w:t xml:space="preserve">available at: </w:t>
      </w:r>
      <w:hyperlink r:id="rId35" w:history="1">
        <w:r w:rsidR="008E4044" w:rsidRPr="000A2D02">
          <w:rPr>
            <w:rStyle w:val="Hyperlink"/>
            <w:bCs/>
            <w:lang w:val="en-AU" w:eastAsia="en-GB" w:bidi="ar-SA"/>
          </w:rPr>
          <w:t>https://www.nhmrc.gov.au/about-us/publications/australian-drinking-water-guidelines</w:t>
        </w:r>
      </w:hyperlink>
      <w:r>
        <w:rPr>
          <w:bCs/>
          <w:lang w:val="en-AU" w:eastAsia="en-GB" w:bidi="ar-SA"/>
        </w:rPr>
        <w:t>.</w:t>
      </w:r>
    </w:p>
    <w:p w14:paraId="4C07F4F2" w14:textId="77777777" w:rsidR="006B7E65" w:rsidRDefault="006B7E65" w:rsidP="00222C7F">
      <w:pPr>
        <w:widowControl/>
        <w:autoSpaceDE w:val="0"/>
        <w:autoSpaceDN w:val="0"/>
        <w:adjustRightInd w:val="0"/>
        <w:rPr>
          <w:rFonts w:eastAsia="Calibri" w:cs="Arial"/>
          <w:bCs/>
          <w:i/>
          <w:iCs/>
          <w:szCs w:val="22"/>
          <w:lang w:val="en-AU" w:bidi="ar-SA"/>
        </w:rPr>
      </w:pPr>
    </w:p>
    <w:p w14:paraId="3C66EF30" w14:textId="48944734" w:rsidR="009B088E" w:rsidRDefault="009B088E" w:rsidP="009B088E">
      <w:pPr>
        <w:widowControl/>
        <w:autoSpaceDE w:val="0"/>
        <w:autoSpaceDN w:val="0"/>
        <w:adjustRightInd w:val="0"/>
        <w:rPr>
          <w:rFonts w:eastAsia="Calibri" w:cs="Arial"/>
          <w:bCs/>
          <w:i/>
          <w:iCs/>
          <w:szCs w:val="22"/>
          <w:lang w:val="en-AU" w:bidi="ar-SA"/>
        </w:rPr>
      </w:pPr>
      <w:r>
        <w:rPr>
          <w:rFonts w:eastAsia="Calibri" w:cs="Arial"/>
          <w:bCs/>
          <w:i/>
          <w:iCs/>
          <w:szCs w:val="22"/>
          <w:lang w:val="en-AU" w:bidi="ar-SA"/>
        </w:rPr>
        <w:t>Standard 4.2.3</w:t>
      </w:r>
    </w:p>
    <w:p w14:paraId="53F2EAB7" w14:textId="77777777" w:rsidR="009B088E" w:rsidRDefault="009B088E" w:rsidP="009B088E">
      <w:pPr>
        <w:widowControl/>
        <w:autoSpaceDE w:val="0"/>
        <w:autoSpaceDN w:val="0"/>
        <w:adjustRightInd w:val="0"/>
        <w:rPr>
          <w:rFonts w:eastAsia="Calibri" w:cs="Arial"/>
          <w:bCs/>
          <w:i/>
          <w:iCs/>
          <w:szCs w:val="22"/>
          <w:lang w:val="en-AU" w:bidi="ar-SA"/>
        </w:rPr>
      </w:pPr>
      <w:r>
        <w:rPr>
          <w:rFonts w:eastAsia="Calibri" w:cs="Arial"/>
          <w:bCs/>
          <w:i/>
          <w:iCs/>
          <w:szCs w:val="22"/>
          <w:lang w:val="en-AU" w:bidi="ar-SA"/>
        </w:rPr>
        <w:t xml:space="preserve"> </w:t>
      </w:r>
    </w:p>
    <w:p w14:paraId="624CE6EF" w14:textId="57B451A4" w:rsidR="00E51DFF" w:rsidRDefault="009B088E" w:rsidP="00E51DFF">
      <w:pPr>
        <w:widowControl/>
        <w:autoSpaceDE w:val="0"/>
        <w:autoSpaceDN w:val="0"/>
        <w:adjustRightInd w:val="0"/>
        <w:rPr>
          <w:rFonts w:cs="Arial"/>
          <w:i/>
          <w:iCs/>
          <w:color w:val="000000"/>
          <w:szCs w:val="22"/>
          <w:shd w:val="clear" w:color="auto" w:fill="FFFFFF"/>
        </w:rPr>
      </w:pPr>
      <w:r w:rsidRPr="00F5675B">
        <w:rPr>
          <w:rFonts w:eastAsia="Calibri" w:cs="Arial"/>
          <w:bCs/>
          <w:szCs w:val="22"/>
          <w:lang w:val="en-AU" w:bidi="ar-SA"/>
        </w:rPr>
        <w:t>Standard 4.2.</w:t>
      </w:r>
      <w:r w:rsidR="00CB3C9F" w:rsidRPr="00F5675B">
        <w:rPr>
          <w:rFonts w:eastAsia="Calibri" w:cs="Arial"/>
          <w:bCs/>
          <w:szCs w:val="22"/>
          <w:lang w:val="en-AU" w:bidi="ar-SA"/>
        </w:rPr>
        <w:t>3</w:t>
      </w:r>
      <w:r w:rsidRPr="00F5675B">
        <w:rPr>
          <w:rFonts w:eastAsia="Calibri" w:cs="Arial"/>
          <w:bCs/>
          <w:szCs w:val="22"/>
          <w:lang w:val="en-AU" w:bidi="ar-SA"/>
        </w:rPr>
        <w:t xml:space="preserve"> contains an editorial Note to </w:t>
      </w:r>
      <w:r w:rsidR="00CB3C9F" w:rsidRPr="00F5675B">
        <w:rPr>
          <w:rFonts w:eastAsia="Calibri" w:cs="Arial"/>
          <w:bCs/>
          <w:szCs w:val="22"/>
          <w:lang w:val="en-AU" w:bidi="ar-SA"/>
        </w:rPr>
        <w:t>the table to clause 4</w:t>
      </w:r>
      <w:r w:rsidRPr="00F5675B">
        <w:rPr>
          <w:rFonts w:eastAsia="Calibri" w:cs="Arial"/>
          <w:bCs/>
          <w:szCs w:val="22"/>
          <w:lang w:val="en-AU" w:bidi="ar-SA"/>
        </w:rPr>
        <w:t xml:space="preserve"> of that Standard. The </w:t>
      </w:r>
      <w:r w:rsidR="00110776">
        <w:rPr>
          <w:rFonts w:eastAsia="Calibri" w:cs="Arial"/>
          <w:bCs/>
          <w:szCs w:val="22"/>
          <w:lang w:val="en-AU" w:bidi="ar-SA"/>
        </w:rPr>
        <w:t>Note</w:t>
      </w:r>
      <w:r w:rsidRPr="00F5675B">
        <w:rPr>
          <w:rFonts w:eastAsia="Calibri" w:cs="Arial"/>
          <w:bCs/>
          <w:szCs w:val="22"/>
          <w:lang w:val="en-AU" w:bidi="ar-SA"/>
        </w:rPr>
        <w:t xml:space="preserve"> refers readers to </w:t>
      </w:r>
      <w:r w:rsidRPr="00F5675B">
        <w:rPr>
          <w:rFonts w:cs="Arial"/>
          <w:color w:val="000000"/>
          <w:szCs w:val="22"/>
          <w:shd w:val="clear" w:color="auto" w:fill="FFFFFF"/>
        </w:rPr>
        <w:t>the </w:t>
      </w:r>
      <w:r w:rsidR="00F5675B" w:rsidRPr="00F5675B">
        <w:rPr>
          <w:rFonts w:cs="Arial"/>
          <w:i/>
          <w:iCs/>
          <w:color w:val="000000"/>
          <w:szCs w:val="22"/>
          <w:shd w:val="clear" w:color="auto" w:fill="FFFFFF"/>
        </w:rPr>
        <w:t>Commonwealth Export Control (Meat and Meat Products) Orders 2005</w:t>
      </w:r>
      <w:r w:rsidR="00F5675B" w:rsidRPr="00F5675B">
        <w:rPr>
          <w:rFonts w:cs="Arial"/>
          <w:color w:val="000000"/>
          <w:szCs w:val="22"/>
          <w:shd w:val="clear" w:color="auto" w:fill="FFFFFF"/>
        </w:rPr>
        <w:t xml:space="preserve"> (</w:t>
      </w:r>
      <w:proofErr w:type="spellStart"/>
      <w:r w:rsidR="00F5675B" w:rsidRPr="00F5675B">
        <w:rPr>
          <w:rFonts w:cs="Arial"/>
          <w:color w:val="000000"/>
          <w:szCs w:val="22"/>
          <w:shd w:val="clear" w:color="auto" w:fill="FFFFFF"/>
        </w:rPr>
        <w:t>Cth</w:t>
      </w:r>
      <w:proofErr w:type="spellEnd"/>
      <w:r w:rsidR="00F5675B" w:rsidRPr="00F5675B">
        <w:rPr>
          <w:rFonts w:cs="Arial"/>
          <w:color w:val="000000"/>
          <w:szCs w:val="22"/>
          <w:shd w:val="clear" w:color="auto" w:fill="FFFFFF"/>
        </w:rPr>
        <w:t xml:space="preserve">) </w:t>
      </w:r>
      <w:r w:rsidR="00997A9E" w:rsidRPr="00F5675B">
        <w:rPr>
          <w:bCs/>
          <w:szCs w:val="22"/>
          <w:lang w:val="en-AU" w:eastAsia="en-GB" w:bidi="ar-SA"/>
        </w:rPr>
        <w:t xml:space="preserve">as </w:t>
      </w:r>
      <w:r w:rsidR="00CF3473" w:rsidRPr="00F5675B">
        <w:rPr>
          <w:bCs/>
          <w:szCs w:val="22"/>
          <w:lang w:val="en-AU" w:eastAsia="en-GB" w:bidi="ar-SA"/>
        </w:rPr>
        <w:t>one</w:t>
      </w:r>
      <w:r w:rsidR="00997A9E" w:rsidRPr="00F5675B">
        <w:rPr>
          <w:bCs/>
          <w:szCs w:val="22"/>
          <w:lang w:val="en-AU" w:eastAsia="en-GB" w:bidi="ar-SA"/>
        </w:rPr>
        <w:t xml:space="preserve"> example of a food safety management system that a ‘relevant authority’ may recognise for the purposes of Standard 4.2.3.</w:t>
      </w:r>
      <w:r w:rsidR="00F5675B" w:rsidRPr="00F5675B">
        <w:rPr>
          <w:bCs/>
          <w:szCs w:val="22"/>
          <w:lang w:val="en-AU" w:eastAsia="en-GB" w:bidi="ar-SA"/>
        </w:rPr>
        <w:t xml:space="preserve"> The </w:t>
      </w:r>
      <w:r w:rsidR="00F5675B" w:rsidRPr="00F5675B">
        <w:rPr>
          <w:rFonts w:cs="Arial"/>
          <w:i/>
          <w:iCs/>
          <w:color w:val="000000"/>
          <w:szCs w:val="22"/>
          <w:shd w:val="clear" w:color="auto" w:fill="FFFFFF"/>
        </w:rPr>
        <w:t>Commonwealth Export Control (Meat and Meat Products) Orders 2005</w:t>
      </w:r>
      <w:r w:rsidR="00F5675B" w:rsidRPr="00F5675B">
        <w:rPr>
          <w:rFonts w:cs="Arial"/>
          <w:color w:val="000000"/>
          <w:szCs w:val="22"/>
          <w:shd w:val="clear" w:color="auto" w:fill="FFFFFF"/>
        </w:rPr>
        <w:t xml:space="preserve"> (</w:t>
      </w:r>
      <w:proofErr w:type="spellStart"/>
      <w:r w:rsidR="00F5675B" w:rsidRPr="00F5675B">
        <w:rPr>
          <w:rFonts w:cs="Arial"/>
          <w:color w:val="000000"/>
          <w:szCs w:val="22"/>
          <w:shd w:val="clear" w:color="auto" w:fill="FFFFFF"/>
        </w:rPr>
        <w:t>Cth</w:t>
      </w:r>
      <w:proofErr w:type="spellEnd"/>
      <w:r w:rsidR="00F5675B" w:rsidRPr="00F5675B">
        <w:rPr>
          <w:rFonts w:cs="Arial"/>
          <w:color w:val="000000"/>
          <w:szCs w:val="22"/>
          <w:shd w:val="clear" w:color="auto" w:fill="FFFFFF"/>
        </w:rPr>
        <w:t xml:space="preserve">) have been replaced by the </w:t>
      </w:r>
      <w:r w:rsidR="00F5675B" w:rsidRPr="00F5675B">
        <w:rPr>
          <w:bCs/>
          <w:i/>
          <w:iCs/>
          <w:szCs w:val="22"/>
          <w:lang w:val="en-AU" w:eastAsia="en-GB" w:bidi="ar-SA"/>
        </w:rPr>
        <w:t>Export Control (Meat and Meat Product) Rules 2021</w:t>
      </w:r>
      <w:r w:rsidR="00F5675B">
        <w:rPr>
          <w:bCs/>
          <w:i/>
          <w:iCs/>
          <w:szCs w:val="22"/>
          <w:lang w:val="en-AU" w:eastAsia="en-GB" w:bidi="ar-SA"/>
        </w:rPr>
        <w:t xml:space="preserve"> </w:t>
      </w:r>
      <w:r w:rsidR="00F5675B" w:rsidRPr="00F5675B">
        <w:rPr>
          <w:bCs/>
          <w:szCs w:val="22"/>
          <w:lang w:val="en-AU" w:eastAsia="en-GB" w:bidi="ar-SA"/>
        </w:rPr>
        <w:t>(</w:t>
      </w:r>
      <w:proofErr w:type="spellStart"/>
      <w:r w:rsidR="00F5675B" w:rsidRPr="00F5675B">
        <w:rPr>
          <w:bCs/>
          <w:szCs w:val="22"/>
          <w:lang w:val="en-AU" w:eastAsia="en-GB" w:bidi="ar-SA"/>
        </w:rPr>
        <w:t>Cth</w:t>
      </w:r>
      <w:proofErr w:type="spellEnd"/>
      <w:r w:rsidR="00F5675B" w:rsidRPr="00F5675B">
        <w:rPr>
          <w:bCs/>
          <w:szCs w:val="22"/>
          <w:lang w:val="en-AU" w:eastAsia="en-GB" w:bidi="ar-SA"/>
        </w:rPr>
        <w:t>)</w:t>
      </w:r>
      <w:r w:rsidR="00E51DFF">
        <w:rPr>
          <w:bCs/>
          <w:szCs w:val="22"/>
          <w:lang w:val="en-AU" w:eastAsia="en-GB" w:bidi="ar-SA"/>
        </w:rPr>
        <w:t xml:space="preserve">. </w:t>
      </w:r>
      <w:r w:rsidR="00E51DFF">
        <w:t xml:space="preserve">The draft variation would amend </w:t>
      </w:r>
      <w:r w:rsidR="00E51DFF">
        <w:rPr>
          <w:rFonts w:eastAsia="Calibri" w:cs="Arial"/>
          <w:bCs/>
          <w:szCs w:val="22"/>
          <w:lang w:val="en-AU" w:bidi="ar-SA"/>
        </w:rPr>
        <w:t xml:space="preserve">the </w:t>
      </w:r>
      <w:r w:rsidR="006F5A32">
        <w:rPr>
          <w:rFonts w:eastAsia="Calibri" w:cs="Arial"/>
          <w:bCs/>
          <w:szCs w:val="22"/>
          <w:lang w:val="en-AU" w:bidi="ar-SA"/>
        </w:rPr>
        <w:t xml:space="preserve">editorial </w:t>
      </w:r>
      <w:r w:rsidR="00110776">
        <w:rPr>
          <w:rFonts w:eastAsia="Calibri" w:cs="Arial"/>
          <w:bCs/>
          <w:szCs w:val="22"/>
          <w:lang w:val="en-AU" w:bidi="ar-SA"/>
        </w:rPr>
        <w:t>Note</w:t>
      </w:r>
      <w:r w:rsidR="00E51DFF">
        <w:rPr>
          <w:rFonts w:eastAsia="Calibri" w:cs="Arial"/>
          <w:bCs/>
          <w:szCs w:val="22"/>
          <w:lang w:val="en-AU" w:bidi="ar-SA"/>
        </w:rPr>
        <w:t xml:space="preserve"> to </w:t>
      </w:r>
      <w:r w:rsidR="00E51DFF" w:rsidRPr="00F5675B">
        <w:rPr>
          <w:rFonts w:eastAsia="Calibri" w:cs="Arial"/>
          <w:bCs/>
          <w:szCs w:val="22"/>
          <w:lang w:val="en-AU" w:bidi="ar-SA"/>
        </w:rPr>
        <w:t xml:space="preserve">the table to clause 4 of </w:t>
      </w:r>
      <w:r w:rsidR="00E51DFF">
        <w:rPr>
          <w:rFonts w:eastAsia="Calibri" w:cs="Arial"/>
          <w:bCs/>
          <w:szCs w:val="22"/>
          <w:lang w:val="en-AU" w:bidi="ar-SA"/>
        </w:rPr>
        <w:t>Standard 4.2.3 to refer instead to the 2021</w:t>
      </w:r>
      <w:r w:rsidR="008025C0">
        <w:rPr>
          <w:rFonts w:eastAsia="Calibri" w:cs="Arial"/>
          <w:bCs/>
          <w:szCs w:val="22"/>
          <w:lang w:val="en-AU" w:bidi="ar-SA"/>
        </w:rPr>
        <w:t xml:space="preserve"> </w:t>
      </w:r>
      <w:r w:rsidR="00AA50B8">
        <w:rPr>
          <w:rFonts w:eastAsia="Calibri" w:cs="Arial"/>
          <w:bCs/>
          <w:szCs w:val="22"/>
          <w:lang w:val="en-AU" w:bidi="ar-SA"/>
        </w:rPr>
        <w:t>Rules</w:t>
      </w:r>
      <w:r w:rsidR="00E51DFF">
        <w:rPr>
          <w:rFonts w:cs="Arial"/>
          <w:i/>
          <w:iCs/>
          <w:color w:val="000000"/>
          <w:szCs w:val="22"/>
          <w:shd w:val="clear" w:color="auto" w:fill="FFFFFF"/>
        </w:rPr>
        <w:t>.</w:t>
      </w:r>
    </w:p>
    <w:p w14:paraId="38256AA1" w14:textId="77777777" w:rsidR="00AA50B8" w:rsidRDefault="00AA50B8" w:rsidP="00E51DFF">
      <w:pPr>
        <w:widowControl/>
        <w:autoSpaceDE w:val="0"/>
        <w:autoSpaceDN w:val="0"/>
        <w:adjustRightInd w:val="0"/>
        <w:rPr>
          <w:rFonts w:cs="Arial"/>
          <w:i/>
          <w:iCs/>
          <w:color w:val="000000"/>
          <w:szCs w:val="22"/>
          <w:shd w:val="clear" w:color="auto" w:fill="FFFFFF"/>
        </w:rPr>
      </w:pPr>
    </w:p>
    <w:p w14:paraId="1F76C436" w14:textId="1D0C7B23" w:rsidR="00EA39E0" w:rsidRDefault="00EA39E0" w:rsidP="00E51DFF">
      <w:pPr>
        <w:widowControl/>
        <w:autoSpaceDE w:val="0"/>
        <w:autoSpaceDN w:val="0"/>
        <w:adjustRightInd w:val="0"/>
        <w:rPr>
          <w:bCs/>
          <w:lang w:val="en-AU" w:eastAsia="en-GB" w:bidi="ar-SA"/>
        </w:rPr>
      </w:pPr>
      <w:r>
        <w:rPr>
          <w:bCs/>
          <w:lang w:val="en-AU" w:eastAsia="en-GB" w:bidi="ar-SA"/>
        </w:rPr>
        <w:t xml:space="preserve">The </w:t>
      </w:r>
      <w:r w:rsidR="00110776">
        <w:rPr>
          <w:rFonts w:eastAsia="Calibri" w:cs="Arial"/>
          <w:bCs/>
          <w:szCs w:val="22"/>
          <w:lang w:val="en-AU" w:bidi="ar-SA"/>
        </w:rPr>
        <w:t>Note</w:t>
      </w:r>
      <w:r>
        <w:rPr>
          <w:rFonts w:eastAsia="Calibri" w:cs="Arial"/>
          <w:bCs/>
          <w:szCs w:val="22"/>
          <w:lang w:val="en-AU" w:bidi="ar-SA"/>
        </w:rPr>
        <w:t xml:space="preserve"> does not incorporate the 2021 Rules by reference. The note has</w:t>
      </w:r>
      <w:r>
        <w:rPr>
          <w:bCs/>
          <w:lang w:val="en-AU" w:eastAsia="en-GB" w:bidi="ar-SA"/>
        </w:rPr>
        <w:t xml:space="preserve"> no legal effect. Editorial </w:t>
      </w:r>
      <w:r w:rsidR="00EA2F00">
        <w:rPr>
          <w:bCs/>
          <w:lang w:val="en-AU" w:eastAsia="en-GB" w:bidi="ar-SA"/>
        </w:rPr>
        <w:t>N</w:t>
      </w:r>
      <w:r>
        <w:rPr>
          <w:bCs/>
          <w:lang w:val="en-AU" w:eastAsia="en-GB" w:bidi="ar-SA"/>
        </w:rPr>
        <w:t xml:space="preserve">otes and examples do not form part of the Code (see the definition of the term ‘standard’ in subsection 4(1) of the FSANZ Act). </w:t>
      </w:r>
    </w:p>
    <w:p w14:paraId="26DF2B74" w14:textId="77777777" w:rsidR="00EA39E0" w:rsidRDefault="00EA39E0" w:rsidP="00E51DFF">
      <w:pPr>
        <w:widowControl/>
        <w:autoSpaceDE w:val="0"/>
        <w:autoSpaceDN w:val="0"/>
        <w:adjustRightInd w:val="0"/>
        <w:rPr>
          <w:bCs/>
          <w:lang w:val="en-AU" w:eastAsia="en-GB" w:bidi="ar-SA"/>
        </w:rPr>
      </w:pPr>
    </w:p>
    <w:p w14:paraId="40DEA1D3" w14:textId="5EF5BD02" w:rsidR="00AA50B8" w:rsidRDefault="00AA50B8" w:rsidP="00E51DFF">
      <w:pPr>
        <w:widowControl/>
        <w:autoSpaceDE w:val="0"/>
        <w:autoSpaceDN w:val="0"/>
        <w:adjustRightInd w:val="0"/>
        <w:rPr>
          <w:rFonts w:cs="Arial"/>
          <w:i/>
          <w:iCs/>
          <w:color w:val="000000"/>
          <w:szCs w:val="22"/>
          <w:shd w:val="clear" w:color="auto" w:fill="FFFFFF"/>
        </w:rPr>
      </w:pPr>
      <w:r>
        <w:rPr>
          <w:rFonts w:cs="Arial"/>
          <w:color w:val="000000"/>
          <w:szCs w:val="22"/>
          <w:shd w:val="clear" w:color="auto" w:fill="FFFFFF"/>
        </w:rPr>
        <w:t xml:space="preserve">A copy of </w:t>
      </w:r>
      <w:r w:rsidRPr="005B1EE5">
        <w:rPr>
          <w:rFonts w:cs="Arial"/>
          <w:szCs w:val="22"/>
          <w:shd w:val="clear" w:color="auto" w:fill="FFFFFF"/>
        </w:rPr>
        <w:t xml:space="preserve">the </w:t>
      </w:r>
      <w:r>
        <w:rPr>
          <w:rFonts w:eastAsia="Calibri" w:cs="Arial"/>
          <w:bCs/>
          <w:szCs w:val="22"/>
          <w:lang w:val="en-AU" w:bidi="ar-SA"/>
        </w:rPr>
        <w:t xml:space="preserve">2021 </w:t>
      </w:r>
      <w:r>
        <w:rPr>
          <w:rFonts w:cs="Arial"/>
          <w:color w:val="000000"/>
          <w:szCs w:val="22"/>
          <w:shd w:val="clear" w:color="auto" w:fill="FFFFFF"/>
        </w:rPr>
        <w:t xml:space="preserve">Rules is </w:t>
      </w:r>
      <w:r w:rsidR="00B35E34">
        <w:rPr>
          <w:rFonts w:cs="Arial"/>
          <w:color w:val="000000"/>
          <w:szCs w:val="22"/>
          <w:shd w:val="clear" w:color="auto" w:fill="FFFFFF"/>
        </w:rPr>
        <w:t xml:space="preserve">freely and publicly </w:t>
      </w:r>
      <w:r>
        <w:rPr>
          <w:rFonts w:cs="Arial"/>
          <w:color w:val="000000"/>
          <w:szCs w:val="22"/>
          <w:shd w:val="clear" w:color="auto" w:fill="FFFFFF"/>
        </w:rPr>
        <w:t xml:space="preserve">available online at </w:t>
      </w:r>
      <w:hyperlink r:id="rId36" w:history="1">
        <w:r w:rsidRPr="00495F5A">
          <w:rPr>
            <w:rStyle w:val="Hyperlink"/>
            <w:rFonts w:cs="Arial"/>
            <w:szCs w:val="22"/>
            <w:shd w:val="clear" w:color="auto" w:fill="FFFFFF"/>
          </w:rPr>
          <w:t>https://www.legislation.gov.au/Details/F2021L00317</w:t>
        </w:r>
      </w:hyperlink>
    </w:p>
    <w:p w14:paraId="6887E282" w14:textId="72B4E08C" w:rsidR="009B088E" w:rsidRDefault="009B088E" w:rsidP="00222C7F">
      <w:pPr>
        <w:widowControl/>
        <w:autoSpaceDE w:val="0"/>
        <w:autoSpaceDN w:val="0"/>
        <w:adjustRightInd w:val="0"/>
        <w:rPr>
          <w:rFonts w:eastAsia="Calibri" w:cs="Arial"/>
          <w:bCs/>
          <w:i/>
          <w:iCs/>
          <w:szCs w:val="22"/>
          <w:lang w:val="en-AU" w:bidi="ar-SA"/>
        </w:rPr>
      </w:pPr>
    </w:p>
    <w:p w14:paraId="61EE838E" w14:textId="7CF89C0F" w:rsidR="007244D4" w:rsidRPr="007244D4" w:rsidRDefault="007244D4" w:rsidP="00222C7F">
      <w:pPr>
        <w:widowControl/>
        <w:autoSpaceDE w:val="0"/>
        <w:autoSpaceDN w:val="0"/>
        <w:adjustRightInd w:val="0"/>
        <w:rPr>
          <w:rFonts w:eastAsia="Calibri" w:cs="Arial"/>
          <w:bCs/>
          <w:i/>
          <w:iCs/>
          <w:szCs w:val="22"/>
          <w:lang w:val="en-AU" w:bidi="ar-SA"/>
        </w:rPr>
      </w:pPr>
      <w:r w:rsidRPr="007244D4">
        <w:rPr>
          <w:rFonts w:eastAsia="Calibri" w:cs="Arial"/>
          <w:bCs/>
          <w:i/>
          <w:iCs/>
          <w:szCs w:val="22"/>
          <w:lang w:val="en-AU" w:bidi="ar-SA"/>
        </w:rPr>
        <w:t>Schedule 3</w:t>
      </w:r>
    </w:p>
    <w:p w14:paraId="7FC3F963" w14:textId="77777777" w:rsidR="00F444CA" w:rsidRDefault="00F444CA" w:rsidP="00222C7F">
      <w:pPr>
        <w:widowControl/>
        <w:autoSpaceDE w:val="0"/>
        <w:autoSpaceDN w:val="0"/>
        <w:adjustRightInd w:val="0"/>
        <w:rPr>
          <w:rFonts w:eastAsia="Calibri" w:cs="Arial"/>
          <w:bCs/>
          <w:szCs w:val="22"/>
          <w:lang w:val="en-AU" w:bidi="ar-SA"/>
        </w:rPr>
      </w:pPr>
    </w:p>
    <w:p w14:paraId="5C49E1DC" w14:textId="06442820" w:rsidR="00FE557F" w:rsidRDefault="000A6F8E" w:rsidP="00222C7F">
      <w:pPr>
        <w:widowControl/>
        <w:autoSpaceDE w:val="0"/>
        <w:autoSpaceDN w:val="0"/>
        <w:adjustRightInd w:val="0"/>
      </w:pPr>
      <w:r>
        <w:t>Section 1.1.1—15 of the Code requires certain substances to comply with any relevant identity and purity specifications listed in Schedule 3 of the Code.</w:t>
      </w:r>
      <w:r w:rsidR="00222C7F">
        <w:t xml:space="preserve"> </w:t>
      </w:r>
    </w:p>
    <w:p w14:paraId="2C5A6DD1" w14:textId="77777777" w:rsidR="00FE557F" w:rsidRDefault="00FE557F" w:rsidP="00222C7F">
      <w:pPr>
        <w:widowControl/>
        <w:autoSpaceDE w:val="0"/>
        <w:autoSpaceDN w:val="0"/>
        <w:adjustRightInd w:val="0"/>
      </w:pPr>
    </w:p>
    <w:p w14:paraId="4F68CEE4" w14:textId="41D3387E" w:rsidR="00FE557F" w:rsidRDefault="00FE557F" w:rsidP="00FE557F">
      <w:pPr>
        <w:widowControl/>
        <w:autoSpaceDE w:val="0"/>
        <w:autoSpaceDN w:val="0"/>
        <w:adjustRightInd w:val="0"/>
      </w:pPr>
      <w:r>
        <w:t xml:space="preserve">Schedule 3 incorporates </w:t>
      </w:r>
      <w:r w:rsidR="005E612C">
        <w:t xml:space="preserve">certain </w:t>
      </w:r>
      <w:r w:rsidR="00EA31C1">
        <w:t xml:space="preserve">publications </w:t>
      </w:r>
      <w:r>
        <w:t>by reference to set specifications for various substances in the circumstances specified in that Schedule</w:t>
      </w:r>
      <w:r w:rsidR="00EA31C1">
        <w:t xml:space="preserve">. </w:t>
      </w:r>
      <w:r w:rsidR="0068709C">
        <w:t>The publications listed include the following</w:t>
      </w:r>
      <w:r>
        <w:t>:</w:t>
      </w:r>
    </w:p>
    <w:p w14:paraId="41274CD3" w14:textId="77777777" w:rsidR="00FE557F" w:rsidRDefault="00FE557F" w:rsidP="00FE557F">
      <w:pPr>
        <w:widowControl/>
        <w:autoSpaceDE w:val="0"/>
        <w:autoSpaceDN w:val="0"/>
        <w:adjustRightInd w:val="0"/>
      </w:pPr>
    </w:p>
    <w:p w14:paraId="2B2E529F" w14:textId="52E8A3E0" w:rsidR="000B6C08" w:rsidRPr="001914ED" w:rsidRDefault="00EC6FF6" w:rsidP="000B6C08">
      <w:pPr>
        <w:pStyle w:val="FSBullet1"/>
        <w:rPr>
          <w:szCs w:val="22"/>
        </w:rPr>
      </w:pPr>
      <w:r w:rsidRPr="001914ED">
        <w:rPr>
          <w:szCs w:val="22"/>
        </w:rPr>
        <w:t xml:space="preserve">the </w:t>
      </w:r>
      <w:r w:rsidR="00FE557F" w:rsidRPr="001914ED">
        <w:rPr>
          <w:szCs w:val="22"/>
        </w:rPr>
        <w:t>Compendium of Food Additive Specifications</w:t>
      </w:r>
      <w:r w:rsidR="00527F85" w:rsidRPr="001914ED">
        <w:rPr>
          <w:szCs w:val="22"/>
        </w:rPr>
        <w:t xml:space="preserve"> </w:t>
      </w:r>
      <w:r w:rsidR="00F93B70" w:rsidRPr="001914ED">
        <w:rPr>
          <w:szCs w:val="22"/>
        </w:rPr>
        <w:t>published</w:t>
      </w:r>
      <w:r w:rsidR="00527F85" w:rsidRPr="001914ED">
        <w:rPr>
          <w:szCs w:val="22"/>
        </w:rPr>
        <w:t xml:space="preserve"> by the </w:t>
      </w:r>
      <w:r w:rsidR="00F16CF2" w:rsidRPr="001914ED">
        <w:rPr>
          <w:szCs w:val="22"/>
        </w:rPr>
        <w:t xml:space="preserve">Food and Agriculture Organisation of the United Nations /World Health Organisation Expert Committee on Food Additives  </w:t>
      </w:r>
      <w:r w:rsidR="00527F85" w:rsidRPr="001914ED">
        <w:rPr>
          <w:szCs w:val="22"/>
        </w:rPr>
        <w:t xml:space="preserve">(JECFA) </w:t>
      </w:r>
      <w:r w:rsidR="00527F85" w:rsidRPr="00E0099E">
        <w:rPr>
          <w:color w:val="000000"/>
          <w:szCs w:val="22"/>
          <w:shd w:val="clear" w:color="auto" w:fill="FFFFFF"/>
        </w:rPr>
        <w:t>in</w:t>
      </w:r>
      <w:r w:rsidR="00F16CF2" w:rsidRPr="00E0099E">
        <w:rPr>
          <w:color w:val="000000"/>
          <w:szCs w:val="22"/>
          <w:shd w:val="clear" w:color="auto" w:fill="FFFFFF"/>
        </w:rPr>
        <w:t xml:space="preserve"> the </w:t>
      </w:r>
      <w:r w:rsidRPr="00E0099E">
        <w:rPr>
          <w:color w:val="000000"/>
          <w:szCs w:val="22"/>
          <w:shd w:val="clear" w:color="auto" w:fill="FFFFFF"/>
        </w:rPr>
        <w:t>Monograph</w:t>
      </w:r>
      <w:r w:rsidR="00F16CF2" w:rsidRPr="00E0099E">
        <w:rPr>
          <w:color w:val="000000"/>
          <w:szCs w:val="22"/>
          <w:shd w:val="clear" w:color="auto" w:fill="FFFFFF"/>
        </w:rPr>
        <w:t xml:space="preserve">s </w:t>
      </w:r>
      <w:r w:rsidR="0043131F" w:rsidRPr="001914ED">
        <w:rPr>
          <w:color w:val="000000"/>
          <w:szCs w:val="22"/>
          <w:shd w:val="clear" w:color="auto" w:fill="FFFFFF"/>
        </w:rPr>
        <w:t>listed</w:t>
      </w:r>
      <w:r w:rsidR="00F16CF2" w:rsidRPr="00E0099E">
        <w:rPr>
          <w:color w:val="000000"/>
          <w:szCs w:val="22"/>
          <w:shd w:val="clear" w:color="auto" w:fill="FFFFFF"/>
        </w:rPr>
        <w:t xml:space="preserve"> in Schedule 3</w:t>
      </w:r>
      <w:r w:rsidR="00A15506" w:rsidRPr="001914ED">
        <w:rPr>
          <w:szCs w:val="22"/>
        </w:rPr>
        <w:t>;</w:t>
      </w:r>
      <w:r w:rsidR="00FE557F" w:rsidRPr="001914ED">
        <w:rPr>
          <w:szCs w:val="22"/>
        </w:rPr>
        <w:t xml:space="preserve"> </w:t>
      </w:r>
    </w:p>
    <w:p w14:paraId="2B81585B" w14:textId="77777777" w:rsidR="001914ED" w:rsidRPr="00E0099E" w:rsidRDefault="00C435A5" w:rsidP="001914ED">
      <w:pPr>
        <w:pStyle w:val="FSBullet1"/>
        <w:rPr>
          <w:color w:val="000000"/>
          <w:szCs w:val="22"/>
          <w:shd w:val="clear" w:color="auto" w:fill="FFFFFF"/>
        </w:rPr>
      </w:pPr>
      <w:r w:rsidRPr="001914ED">
        <w:rPr>
          <w:szCs w:val="22"/>
        </w:rPr>
        <w:t xml:space="preserve">the 12 edition (2020) of the </w:t>
      </w:r>
      <w:r w:rsidRPr="00E0099E">
        <w:rPr>
          <w:color w:val="000000"/>
          <w:szCs w:val="22"/>
          <w:shd w:val="clear" w:color="auto" w:fill="FFFFFF"/>
        </w:rPr>
        <w:t xml:space="preserve">Food chemicals codex published by the </w:t>
      </w:r>
      <w:r w:rsidR="004E5937" w:rsidRPr="00E0099E">
        <w:rPr>
          <w:color w:val="000000"/>
          <w:szCs w:val="22"/>
          <w:shd w:val="clear" w:color="auto" w:fill="FFFFFF"/>
        </w:rPr>
        <w:t>United States Pharmacopeial Convention</w:t>
      </w:r>
      <w:r w:rsidRPr="00E0099E">
        <w:rPr>
          <w:color w:val="000000"/>
          <w:szCs w:val="22"/>
          <w:shd w:val="clear" w:color="auto" w:fill="FFFFFF"/>
        </w:rPr>
        <w:t xml:space="preserve">; and </w:t>
      </w:r>
    </w:p>
    <w:p w14:paraId="62EA4090" w14:textId="3C76C433" w:rsidR="000B6C08" w:rsidRPr="00E0099E" w:rsidRDefault="001914ED" w:rsidP="001914ED">
      <w:pPr>
        <w:pStyle w:val="FSBullet1"/>
        <w:rPr>
          <w:color w:val="000000"/>
          <w:szCs w:val="22"/>
          <w:shd w:val="clear" w:color="auto" w:fill="FFFFFF"/>
        </w:rPr>
      </w:pPr>
      <w:r w:rsidRPr="001914ED">
        <w:rPr>
          <w:szCs w:val="22"/>
        </w:rPr>
        <w:t xml:space="preserve">the 2018 edition of the International Oenological Codex published by the </w:t>
      </w:r>
      <w:r w:rsidRPr="00E0099E">
        <w:rPr>
          <w:color w:val="000000"/>
          <w:szCs w:val="22"/>
          <w:shd w:val="clear" w:color="auto" w:fill="FFFFFF"/>
        </w:rPr>
        <w:t xml:space="preserve">Organisation Internationale de la </w:t>
      </w:r>
      <w:proofErr w:type="spellStart"/>
      <w:r w:rsidRPr="00E0099E">
        <w:rPr>
          <w:color w:val="000000"/>
          <w:szCs w:val="22"/>
          <w:shd w:val="clear" w:color="auto" w:fill="FFFFFF"/>
        </w:rPr>
        <w:t>Vigne</w:t>
      </w:r>
      <w:proofErr w:type="spellEnd"/>
      <w:r w:rsidRPr="00E0099E">
        <w:rPr>
          <w:color w:val="000000"/>
          <w:szCs w:val="22"/>
          <w:shd w:val="clear" w:color="auto" w:fill="FFFFFF"/>
        </w:rPr>
        <w:t xml:space="preserve"> et du Vin</w:t>
      </w:r>
      <w:r w:rsidR="000D17C0">
        <w:rPr>
          <w:color w:val="000000"/>
          <w:szCs w:val="22"/>
          <w:shd w:val="clear" w:color="auto" w:fill="FFFFFF"/>
        </w:rPr>
        <w:t xml:space="preserve"> (OIV)</w:t>
      </w:r>
      <w:r w:rsidRPr="00E0099E">
        <w:rPr>
          <w:color w:val="000000"/>
          <w:szCs w:val="22"/>
          <w:shd w:val="clear" w:color="auto" w:fill="FFFFFF"/>
        </w:rPr>
        <w:t>.</w:t>
      </w:r>
    </w:p>
    <w:p w14:paraId="53CBD5C4" w14:textId="77777777" w:rsidR="00EB2001" w:rsidRDefault="00EB2001" w:rsidP="00EB2001">
      <w:pPr>
        <w:rPr>
          <w:lang w:bidi="ar-SA"/>
        </w:rPr>
      </w:pPr>
    </w:p>
    <w:p w14:paraId="6CA6C4AF" w14:textId="60965057" w:rsidR="00994A52" w:rsidRDefault="00CE0184" w:rsidP="00EB2001">
      <w:pPr>
        <w:rPr>
          <w:rFonts w:cs="Arial"/>
          <w:szCs w:val="22"/>
          <w:lang w:eastAsia="en-AU"/>
        </w:rPr>
      </w:pPr>
      <w:r>
        <w:rPr>
          <w:rFonts w:eastAsia="Calibri" w:cs="Arial"/>
          <w:color w:val="000000"/>
          <w:szCs w:val="22"/>
          <w:lang w:bidi="ar-SA"/>
        </w:rPr>
        <w:t xml:space="preserve">The </w:t>
      </w:r>
      <w:r>
        <w:rPr>
          <w:rFonts w:eastAsia="Calibri" w:cs="Arial"/>
          <w:bCs/>
          <w:color w:val="000000"/>
          <w:szCs w:val="22"/>
          <w:lang w:bidi="ar-SA"/>
        </w:rPr>
        <w:t xml:space="preserve">draft variation would amend relevant provisions in Schedule 3 to update these references </w:t>
      </w:r>
      <w:r w:rsidR="00B4736E">
        <w:rPr>
          <w:rFonts w:eastAsia="Calibri" w:cs="Arial"/>
          <w:bCs/>
          <w:color w:val="000000"/>
          <w:szCs w:val="22"/>
          <w:lang w:bidi="ar-SA"/>
        </w:rPr>
        <w:t>to refer to the following</w:t>
      </w:r>
      <w:r w:rsidR="004549C8" w:rsidRPr="00E0099E">
        <w:rPr>
          <w:rFonts w:cs="Arial"/>
          <w:szCs w:val="22"/>
          <w:lang w:eastAsia="en-AU"/>
        </w:rPr>
        <w:t xml:space="preserve">. </w:t>
      </w:r>
      <w:r w:rsidR="00994A52">
        <w:rPr>
          <w:rFonts w:cs="Arial"/>
          <w:szCs w:val="22"/>
          <w:lang w:eastAsia="en-AU"/>
        </w:rPr>
        <w:br/>
      </w:r>
    </w:p>
    <w:p w14:paraId="6DA5AEAB" w14:textId="14C77D4A" w:rsidR="00994A52" w:rsidRPr="00E0099E" w:rsidRDefault="004549C8" w:rsidP="00E0099E">
      <w:pPr>
        <w:pStyle w:val="ListParagraph"/>
        <w:numPr>
          <w:ilvl w:val="0"/>
          <w:numId w:val="15"/>
        </w:numPr>
        <w:rPr>
          <w:rFonts w:eastAsia="Calibri" w:cs="Arial"/>
          <w:color w:val="000000"/>
          <w:szCs w:val="22"/>
          <w:lang w:bidi="ar-SA"/>
        </w:rPr>
      </w:pPr>
      <w:r w:rsidRPr="00E0099E">
        <w:rPr>
          <w:rFonts w:cs="Arial"/>
          <w:szCs w:val="22"/>
          <w:lang w:eastAsia="en-AU"/>
        </w:rPr>
        <w:t xml:space="preserve">JECFA has </w:t>
      </w:r>
      <w:r w:rsidR="00994A52" w:rsidRPr="00994A52">
        <w:rPr>
          <w:rFonts w:cs="Arial"/>
          <w:szCs w:val="22"/>
          <w:lang w:eastAsia="en-AU"/>
        </w:rPr>
        <w:t>added</w:t>
      </w:r>
      <w:r w:rsidRPr="00E0099E">
        <w:rPr>
          <w:rFonts w:cs="Arial"/>
          <w:szCs w:val="22"/>
          <w:lang w:eastAsia="en-AU"/>
        </w:rPr>
        <w:t xml:space="preserve"> new </w:t>
      </w:r>
      <w:r w:rsidR="00556013" w:rsidRPr="00E0099E">
        <w:rPr>
          <w:rFonts w:cs="Arial"/>
          <w:szCs w:val="22"/>
          <w:lang w:eastAsia="en-AU"/>
        </w:rPr>
        <w:t>M</w:t>
      </w:r>
      <w:r w:rsidRPr="00E0099E">
        <w:rPr>
          <w:rFonts w:cs="Arial"/>
          <w:szCs w:val="22"/>
          <w:lang w:eastAsia="en-AU"/>
        </w:rPr>
        <w:t>onographs 25 (2020) and 26 (2021)</w:t>
      </w:r>
      <w:r w:rsidR="00556013" w:rsidRPr="00E0099E">
        <w:rPr>
          <w:rFonts w:cs="Arial"/>
          <w:szCs w:val="22"/>
          <w:lang w:eastAsia="en-AU"/>
        </w:rPr>
        <w:t xml:space="preserve"> to its </w:t>
      </w:r>
      <w:r w:rsidR="00556013" w:rsidRPr="00994A52">
        <w:rPr>
          <w:rFonts w:cs="Arial"/>
          <w:szCs w:val="22"/>
        </w:rPr>
        <w:t>Compendium of Food Additive Specifications</w:t>
      </w:r>
      <w:r w:rsidR="00BF4E33" w:rsidRPr="00E0099E">
        <w:rPr>
          <w:rFonts w:cs="Arial"/>
          <w:szCs w:val="22"/>
          <w:lang w:eastAsia="en-AU"/>
        </w:rPr>
        <w:t>.</w:t>
      </w:r>
      <w:r w:rsidR="007E0965" w:rsidRPr="00E0099E">
        <w:rPr>
          <w:rFonts w:cs="Arial"/>
          <w:szCs w:val="22"/>
          <w:lang w:eastAsia="en-AU"/>
        </w:rPr>
        <w:t xml:space="preserve"> </w:t>
      </w:r>
      <w:r w:rsidR="00CE0184" w:rsidRPr="00994A52">
        <w:rPr>
          <w:rFonts w:cs="Arial"/>
          <w:szCs w:val="22"/>
          <w:lang w:eastAsia="en-AU"/>
        </w:rPr>
        <w:t xml:space="preserve">Copies are </w:t>
      </w:r>
      <w:r w:rsidR="00B35E34">
        <w:rPr>
          <w:rFonts w:cs="Arial"/>
          <w:color w:val="000000"/>
          <w:szCs w:val="22"/>
          <w:shd w:val="clear" w:color="auto" w:fill="FFFFFF"/>
        </w:rPr>
        <w:t xml:space="preserve">freely and publicly </w:t>
      </w:r>
      <w:r w:rsidR="00CE0184" w:rsidRPr="00E0099E">
        <w:rPr>
          <w:rFonts w:cs="Arial"/>
          <w:color w:val="000000"/>
          <w:szCs w:val="22"/>
          <w:shd w:val="clear" w:color="auto" w:fill="FFFFFF"/>
        </w:rPr>
        <w:t xml:space="preserve">available online at </w:t>
      </w:r>
      <w:hyperlink r:id="rId37" w:history="1">
        <w:r w:rsidR="00CE0184" w:rsidRPr="00994A52">
          <w:rPr>
            <w:rStyle w:val="Hyperlink"/>
            <w:rFonts w:eastAsia="Calibri" w:cs="Arial"/>
            <w:szCs w:val="22"/>
            <w:lang w:bidi="ar-SA"/>
          </w:rPr>
          <w:t>https://www.fao.org/food/food-safety-quality/scientific-advice/jecfa/jecfa-additives/en/</w:t>
        </w:r>
      </w:hyperlink>
      <w:r w:rsidR="00CE0184" w:rsidRPr="00E0099E">
        <w:rPr>
          <w:rFonts w:eastAsia="Calibri" w:cs="Arial"/>
          <w:color w:val="000000"/>
          <w:szCs w:val="22"/>
          <w:lang w:bidi="ar-SA"/>
        </w:rPr>
        <w:t xml:space="preserve">. </w:t>
      </w:r>
      <w:r w:rsidR="00B26605">
        <w:rPr>
          <w:rFonts w:eastAsia="Calibri" w:cs="Arial"/>
          <w:color w:val="000000"/>
          <w:szCs w:val="22"/>
          <w:lang w:bidi="ar-SA"/>
        </w:rPr>
        <w:br/>
      </w:r>
    </w:p>
    <w:p w14:paraId="7D8F65ED" w14:textId="661DE4C3" w:rsidR="00B26605" w:rsidRPr="00B26605" w:rsidRDefault="000D17C0" w:rsidP="007D17D7">
      <w:pPr>
        <w:pStyle w:val="ListParagraph"/>
        <w:numPr>
          <w:ilvl w:val="0"/>
          <w:numId w:val="15"/>
        </w:numPr>
        <w:rPr>
          <w:rFonts w:cs="Arial"/>
          <w:szCs w:val="22"/>
          <w:lang w:eastAsia="en-AU"/>
        </w:rPr>
      </w:pPr>
      <w:r w:rsidRPr="00E0099E">
        <w:rPr>
          <w:rFonts w:cs="Arial"/>
          <w:szCs w:val="22"/>
          <w:lang w:eastAsia="en-AU"/>
        </w:rPr>
        <w:t>The OIV has published a new edition (2022) of the International Oenological Codex</w:t>
      </w:r>
      <w:r w:rsidR="00CE0184" w:rsidRPr="00994A52">
        <w:rPr>
          <w:rFonts w:cs="Arial"/>
          <w:szCs w:val="22"/>
          <w:lang w:eastAsia="en-AU"/>
        </w:rPr>
        <w:t xml:space="preserve">. A copy is </w:t>
      </w:r>
      <w:r w:rsidR="00B35E34">
        <w:rPr>
          <w:rFonts w:cs="Arial"/>
          <w:color w:val="000000"/>
          <w:szCs w:val="22"/>
          <w:shd w:val="clear" w:color="auto" w:fill="FFFFFF"/>
        </w:rPr>
        <w:t xml:space="preserve">freely and publicly </w:t>
      </w:r>
      <w:r w:rsidR="00CE0184" w:rsidRPr="00E0099E">
        <w:rPr>
          <w:rFonts w:cs="Arial"/>
          <w:color w:val="000000"/>
          <w:szCs w:val="22"/>
          <w:shd w:val="clear" w:color="auto" w:fill="FFFFFF"/>
        </w:rPr>
        <w:t xml:space="preserve">available online at </w:t>
      </w:r>
      <w:hyperlink r:id="rId38" w:history="1">
        <w:r w:rsidR="003320F3" w:rsidRPr="00994A52">
          <w:rPr>
            <w:rStyle w:val="Hyperlink"/>
            <w:rFonts w:cs="Arial"/>
            <w:szCs w:val="22"/>
            <w:shd w:val="clear" w:color="auto" w:fill="FFFFFF"/>
          </w:rPr>
          <w:t>https://www.oiv.int/standards/international-oenological-codex</w:t>
        </w:r>
      </w:hyperlink>
      <w:r w:rsidR="003320F3" w:rsidRPr="00E0099E">
        <w:rPr>
          <w:rFonts w:cs="Arial"/>
          <w:color w:val="000000"/>
          <w:szCs w:val="22"/>
          <w:shd w:val="clear" w:color="auto" w:fill="FFFFFF"/>
        </w:rPr>
        <w:t xml:space="preserve">. </w:t>
      </w:r>
      <w:r w:rsidR="00B26605">
        <w:rPr>
          <w:rFonts w:cs="Arial"/>
          <w:color w:val="000000"/>
          <w:szCs w:val="22"/>
          <w:shd w:val="clear" w:color="auto" w:fill="FFFFFF"/>
        </w:rPr>
        <w:br/>
      </w:r>
    </w:p>
    <w:p w14:paraId="363FEB73" w14:textId="04D2AD23" w:rsidR="00B26605" w:rsidRPr="00B26605" w:rsidRDefault="008F3FF4" w:rsidP="007D17D7">
      <w:pPr>
        <w:pStyle w:val="ListParagraph"/>
        <w:numPr>
          <w:ilvl w:val="0"/>
          <w:numId w:val="15"/>
        </w:numPr>
        <w:rPr>
          <w:rStyle w:val="cf01"/>
          <w:rFonts w:ascii="Arial" w:hAnsi="Arial" w:cs="Arial"/>
          <w:sz w:val="22"/>
          <w:szCs w:val="22"/>
          <w:lang w:eastAsia="en-AU"/>
        </w:rPr>
      </w:pPr>
      <w:r w:rsidRPr="007D17D7">
        <w:rPr>
          <w:rFonts w:cs="Arial"/>
          <w:szCs w:val="22"/>
          <w:lang w:eastAsia="en-AU"/>
        </w:rPr>
        <w:lastRenderedPageBreak/>
        <w:t>The United States Pharmacopeial Convention has published a new 2022 (13</w:t>
      </w:r>
      <w:r w:rsidRPr="007D17D7">
        <w:rPr>
          <w:rFonts w:cs="Arial"/>
          <w:szCs w:val="22"/>
          <w:vertAlign w:val="superscript"/>
          <w:lang w:eastAsia="en-AU"/>
        </w:rPr>
        <w:t>th</w:t>
      </w:r>
      <w:r w:rsidRPr="007D17D7">
        <w:rPr>
          <w:rFonts w:cs="Arial"/>
          <w:szCs w:val="22"/>
          <w:lang w:eastAsia="en-AU"/>
        </w:rPr>
        <w:t xml:space="preserve"> edition) of the Food chemicals codex</w:t>
      </w:r>
      <w:r w:rsidR="007D17D7" w:rsidRPr="007D17D7">
        <w:rPr>
          <w:rFonts w:cs="Arial"/>
          <w:szCs w:val="22"/>
          <w:lang w:eastAsia="en-AU"/>
        </w:rPr>
        <w:t xml:space="preserve"> (FCC)</w:t>
      </w:r>
      <w:r w:rsidRPr="007D17D7">
        <w:rPr>
          <w:rFonts w:cs="Arial"/>
          <w:szCs w:val="22"/>
          <w:lang w:eastAsia="en-AU"/>
        </w:rPr>
        <w:t>.</w:t>
      </w:r>
      <w:r w:rsidR="00B26605">
        <w:rPr>
          <w:rFonts w:cs="Arial"/>
          <w:szCs w:val="22"/>
          <w:lang w:eastAsia="en-AU"/>
        </w:rPr>
        <w:t xml:space="preserve"> </w:t>
      </w:r>
      <w:r w:rsidR="00B26605" w:rsidRPr="00B26605">
        <w:rPr>
          <w:rFonts w:cs="Arial"/>
          <w:szCs w:val="22"/>
          <w:lang w:eastAsia="en-AU"/>
        </w:rPr>
        <w:t xml:space="preserve">A copy is </w:t>
      </w:r>
      <w:r w:rsidR="00B26605" w:rsidRPr="00B26605">
        <w:rPr>
          <w:rFonts w:cs="Arial"/>
          <w:color w:val="000000"/>
          <w:szCs w:val="22"/>
          <w:shd w:val="clear" w:color="auto" w:fill="FFFFFF"/>
        </w:rPr>
        <w:t xml:space="preserve">available online at </w:t>
      </w:r>
      <w:hyperlink r:id="rId39" w:history="1">
        <w:r w:rsidR="00B26605" w:rsidRPr="00B26605">
          <w:rPr>
            <w:rStyle w:val="Hyperlink"/>
            <w:rFonts w:cs="Arial"/>
            <w:szCs w:val="22"/>
            <w:shd w:val="clear" w:color="auto" w:fill="FFFFFF"/>
          </w:rPr>
          <w:t>https://www.foodchemicalscodex.org/</w:t>
        </w:r>
      </w:hyperlink>
      <w:r w:rsidR="007D17D7" w:rsidRPr="007D17D7">
        <w:rPr>
          <w:rFonts w:cs="Arial"/>
          <w:szCs w:val="22"/>
          <w:lang w:eastAsia="en-AU"/>
        </w:rPr>
        <w:br/>
      </w:r>
      <w:r w:rsidR="007D17D7" w:rsidRPr="007D17D7">
        <w:rPr>
          <w:rFonts w:cs="Arial"/>
          <w:szCs w:val="22"/>
          <w:lang w:eastAsia="en-AU"/>
        </w:rPr>
        <w:br/>
      </w:r>
      <w:r w:rsidR="007D17D7" w:rsidRPr="00B26605">
        <w:rPr>
          <w:rStyle w:val="cf01"/>
          <w:rFonts w:ascii="Arial" w:hAnsi="Arial" w:cs="Arial"/>
          <w:sz w:val="22"/>
          <w:szCs w:val="22"/>
        </w:rPr>
        <w:t xml:space="preserve">The FCC is not available for free. However, it is anticipated that the persons most affected by </w:t>
      </w:r>
      <w:r w:rsidR="0085189A">
        <w:rPr>
          <w:rStyle w:val="cf01"/>
          <w:rFonts w:ascii="Arial" w:hAnsi="Arial" w:cs="Arial"/>
          <w:sz w:val="22"/>
          <w:szCs w:val="22"/>
        </w:rPr>
        <w:t>its</w:t>
      </w:r>
      <w:r w:rsidR="007D17D7" w:rsidRPr="00B26605">
        <w:rPr>
          <w:rStyle w:val="cf01"/>
          <w:rFonts w:ascii="Arial" w:hAnsi="Arial" w:cs="Arial"/>
          <w:sz w:val="22"/>
          <w:szCs w:val="22"/>
        </w:rPr>
        <w:t xml:space="preserve"> adoption in the Code (food manufacturers), would be in possession of </w:t>
      </w:r>
      <w:r w:rsidR="0085189A">
        <w:rPr>
          <w:rStyle w:val="cf01"/>
          <w:rFonts w:ascii="Arial" w:hAnsi="Arial" w:cs="Arial"/>
          <w:sz w:val="22"/>
          <w:szCs w:val="22"/>
        </w:rPr>
        <w:t>the</w:t>
      </w:r>
      <w:r w:rsidR="007D17D7" w:rsidRPr="00B26605">
        <w:rPr>
          <w:rStyle w:val="cf01"/>
          <w:rFonts w:ascii="Arial" w:hAnsi="Arial" w:cs="Arial"/>
          <w:sz w:val="22"/>
          <w:szCs w:val="22"/>
        </w:rPr>
        <w:t xml:space="preserve"> document in order to manufacture food products. As important international benchmark for the safety and quality of food ingredients, it would be infeasible from a regulatory perspective to not adopt such benchmarks on the basis that the publications are not available for free.</w:t>
      </w:r>
      <w:r w:rsidR="00B26605" w:rsidRPr="00B26605">
        <w:rPr>
          <w:rStyle w:val="cf01"/>
          <w:rFonts w:ascii="Arial" w:hAnsi="Arial" w:cs="Arial"/>
          <w:sz w:val="22"/>
          <w:szCs w:val="22"/>
        </w:rPr>
        <w:br/>
      </w:r>
      <w:r w:rsidR="00B26605" w:rsidRPr="00B26605">
        <w:rPr>
          <w:rStyle w:val="cf01"/>
          <w:rFonts w:ascii="Arial" w:hAnsi="Arial" w:cs="Arial"/>
          <w:sz w:val="22"/>
          <w:szCs w:val="22"/>
        </w:rPr>
        <w:br/>
      </w:r>
      <w:r w:rsidR="007D17D7" w:rsidRPr="00B26605">
        <w:rPr>
          <w:rStyle w:val="cf01"/>
          <w:rFonts w:ascii="Arial" w:hAnsi="Arial" w:cs="Arial"/>
          <w:sz w:val="22"/>
          <w:szCs w:val="22"/>
        </w:rPr>
        <w:t>However, by prior written arrangement with the Authority, members of the public may arrange to view the FCC without charge at the Authority’s Wellington and Canberra Offices.</w:t>
      </w:r>
    </w:p>
    <w:p w14:paraId="0B1DB4B8" w14:textId="77777777" w:rsidR="00B26605" w:rsidRPr="00B26605" w:rsidRDefault="00B26605" w:rsidP="00B26605">
      <w:pPr>
        <w:pStyle w:val="ListParagraph"/>
        <w:rPr>
          <w:rStyle w:val="cf01"/>
          <w:rFonts w:ascii="Arial" w:hAnsi="Arial" w:cs="Arial"/>
          <w:sz w:val="22"/>
          <w:szCs w:val="22"/>
        </w:rPr>
      </w:pPr>
    </w:p>
    <w:p w14:paraId="759EDDA4" w14:textId="0EB0865B" w:rsidR="008F3FF4" w:rsidRPr="00F80462" w:rsidRDefault="00F80462" w:rsidP="00F80462">
      <w:pPr>
        <w:pStyle w:val="ListParagraph"/>
        <w:rPr>
          <w:rFonts w:cs="Arial"/>
          <w:szCs w:val="22"/>
        </w:rPr>
      </w:pPr>
      <w:r>
        <w:rPr>
          <w:rStyle w:val="cf01"/>
          <w:rFonts w:ascii="Arial" w:hAnsi="Arial" w:cs="Arial"/>
          <w:sz w:val="22"/>
          <w:szCs w:val="22"/>
        </w:rPr>
        <w:t>The</w:t>
      </w:r>
      <w:r w:rsidR="007D17D7" w:rsidRPr="00B26605">
        <w:rPr>
          <w:rStyle w:val="cf01"/>
          <w:rFonts w:ascii="Arial" w:hAnsi="Arial" w:cs="Arial"/>
          <w:sz w:val="22"/>
          <w:szCs w:val="22"/>
        </w:rPr>
        <w:t xml:space="preserve"> National Library’s Trove online system (</w:t>
      </w:r>
      <w:hyperlink r:id="rId40" w:history="1">
        <w:r w:rsidR="007D17D7" w:rsidRPr="00B26605">
          <w:rPr>
            <w:rStyle w:val="cf21"/>
            <w:rFonts w:ascii="Arial" w:hAnsi="Arial" w:cs="Arial"/>
            <w:color w:val="0000FF"/>
            <w:sz w:val="22"/>
            <w:szCs w:val="22"/>
          </w:rPr>
          <w:t>www.trove.nla.gov.au/</w:t>
        </w:r>
      </w:hyperlink>
      <w:r w:rsidR="007D17D7" w:rsidRPr="00B26605">
        <w:rPr>
          <w:rStyle w:val="cf01"/>
          <w:rFonts w:ascii="Arial" w:hAnsi="Arial" w:cs="Arial"/>
          <w:sz w:val="22"/>
          <w:szCs w:val="22"/>
        </w:rPr>
        <w:t>) allows users to identify libraries in Australia that are open to the public where editions (in most cases, earlier editions) of the FCC may be viewed. Members of the public may also approach any library that participates in inter-library loans with those university libraries to request an inter</w:t>
      </w:r>
      <w:r w:rsidR="00E571EE">
        <w:rPr>
          <w:rStyle w:val="cf01"/>
          <w:rFonts w:ascii="Arial" w:hAnsi="Arial" w:cs="Arial"/>
          <w:sz w:val="22"/>
          <w:szCs w:val="22"/>
        </w:rPr>
        <w:noBreakHyphen/>
      </w:r>
      <w:r w:rsidR="007D17D7" w:rsidRPr="00B26605">
        <w:rPr>
          <w:rStyle w:val="cf01"/>
          <w:rFonts w:ascii="Arial" w:hAnsi="Arial" w:cs="Arial"/>
          <w:sz w:val="22"/>
          <w:szCs w:val="22"/>
        </w:rPr>
        <w:t xml:space="preserve">library loan, or to obtain a photocopy of a particular part or monograph for personal study or research (but not for commercial purposes). Fees apply in relation to the making of such a request. </w:t>
      </w:r>
      <w:r w:rsidR="00193111" w:rsidRPr="008E236F">
        <w:rPr>
          <w:rStyle w:val="cf01"/>
          <w:rFonts w:ascii="Arial" w:hAnsi="Arial" w:cs="Arial"/>
          <w:sz w:val="22"/>
          <w:szCs w:val="22"/>
        </w:rPr>
        <w:t xml:space="preserve">Enquiries can be made </w:t>
      </w:r>
      <w:r w:rsidR="00193111">
        <w:rPr>
          <w:rStyle w:val="cf01"/>
          <w:rFonts w:ascii="Arial" w:hAnsi="Arial" w:cs="Arial"/>
          <w:sz w:val="22"/>
          <w:szCs w:val="22"/>
        </w:rPr>
        <w:t>through</w:t>
      </w:r>
      <w:r w:rsidR="00193111" w:rsidRPr="008E236F">
        <w:rPr>
          <w:rStyle w:val="cf01"/>
          <w:rFonts w:ascii="Arial" w:hAnsi="Arial" w:cs="Arial"/>
          <w:sz w:val="22"/>
          <w:szCs w:val="22"/>
        </w:rPr>
        <w:t xml:space="preserve"> local libraries, State libraries and the National Library</w:t>
      </w:r>
      <w:r w:rsidR="00B26605" w:rsidRPr="00B26605">
        <w:rPr>
          <w:rStyle w:val="cf01"/>
          <w:rFonts w:ascii="Arial" w:hAnsi="Arial" w:cs="Arial"/>
          <w:sz w:val="22"/>
          <w:szCs w:val="22"/>
        </w:rPr>
        <w:t>.</w:t>
      </w:r>
      <w:r>
        <w:rPr>
          <w:rStyle w:val="cf01"/>
          <w:rFonts w:ascii="Arial" w:hAnsi="Arial" w:cs="Arial"/>
          <w:sz w:val="22"/>
          <w:szCs w:val="22"/>
        </w:rPr>
        <w:t xml:space="preserve">  </w:t>
      </w:r>
      <w:r w:rsidR="007D17D7" w:rsidRPr="00F80462">
        <w:rPr>
          <w:rStyle w:val="cf01"/>
          <w:rFonts w:ascii="Arial" w:hAnsi="Arial" w:cs="Arial"/>
          <w:sz w:val="22"/>
          <w:szCs w:val="22"/>
        </w:rPr>
        <w:t>For example, Trove indicates that access to the 1996 edition of the FCC is available at the University of Melbourne Library and the Hawksbury Campus Library of the Western Sydney University, which are both open to the public.</w:t>
      </w:r>
    </w:p>
    <w:p w14:paraId="363F5EDF" w14:textId="77777777" w:rsidR="00497B7A" w:rsidRDefault="00497B7A" w:rsidP="00AB0275">
      <w:pPr>
        <w:rPr>
          <w:b/>
          <w:lang w:val="en-AU" w:eastAsia="en-GB" w:bidi="ar-SA"/>
        </w:rPr>
      </w:pPr>
    </w:p>
    <w:p w14:paraId="24BF70B6" w14:textId="03859204" w:rsidR="00AB0275" w:rsidRPr="000576EB" w:rsidRDefault="00BF45FA" w:rsidP="00AB0275">
      <w:pPr>
        <w:rPr>
          <w:b/>
          <w:lang w:val="en-AU" w:eastAsia="en-GB" w:bidi="ar-SA"/>
        </w:rPr>
      </w:pPr>
      <w:r>
        <w:rPr>
          <w:b/>
          <w:lang w:val="en-AU" w:eastAsia="en-GB" w:bidi="ar-SA"/>
        </w:rPr>
        <w:t>5</w:t>
      </w:r>
      <w:r w:rsidR="00AB0275" w:rsidRPr="000576EB">
        <w:rPr>
          <w:b/>
          <w:lang w:val="en-AU" w:eastAsia="en-GB" w:bidi="ar-SA"/>
        </w:rPr>
        <w:t>.</w:t>
      </w:r>
      <w:r w:rsidR="00AB0275" w:rsidRPr="000576EB">
        <w:rPr>
          <w:b/>
          <w:lang w:val="en-AU" w:eastAsia="en-GB" w:bidi="ar-SA"/>
        </w:rPr>
        <w:tab/>
        <w:t>Consultation</w:t>
      </w:r>
    </w:p>
    <w:p w14:paraId="5F53AF49" w14:textId="77777777" w:rsidR="00AB0275" w:rsidRDefault="00AB0275" w:rsidP="00AB0275">
      <w:pPr>
        <w:rPr>
          <w:lang w:val="en-AU" w:eastAsia="en-GB" w:bidi="ar-SA"/>
        </w:rPr>
      </w:pPr>
    </w:p>
    <w:p w14:paraId="28787410" w14:textId="1D238AE4" w:rsidR="00AB0275" w:rsidRPr="00621218" w:rsidRDefault="00AB0275" w:rsidP="00AB0275">
      <w:pPr>
        <w:rPr>
          <w:lang w:val="en-AU"/>
        </w:rPr>
      </w:pPr>
      <w:r w:rsidRPr="00F634A1">
        <w:rPr>
          <w:szCs w:val="22"/>
        </w:rPr>
        <w:t xml:space="preserve">In accordance with the procedure in </w:t>
      </w:r>
      <w:r w:rsidR="00621218" w:rsidRPr="00CC479A">
        <w:rPr>
          <w:rFonts w:eastAsia="Calibri" w:cs="Arial"/>
          <w:bCs/>
          <w:szCs w:val="22"/>
          <w:lang w:val="en-AU" w:bidi="ar-SA"/>
        </w:rPr>
        <w:t xml:space="preserve">Division 2 of Part 3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w:t>
      </w:r>
      <w:r w:rsidRPr="00621218">
        <w:rPr>
          <w:szCs w:val="22"/>
        </w:rPr>
        <w:t>consideration of Proposal P</w:t>
      </w:r>
      <w:r w:rsidR="00621218" w:rsidRPr="00621218">
        <w:rPr>
          <w:szCs w:val="22"/>
        </w:rPr>
        <w:t>1061</w:t>
      </w:r>
      <w:r w:rsidRPr="00621218">
        <w:rPr>
          <w:szCs w:val="22"/>
        </w:rPr>
        <w:t xml:space="preserve"> will include one round of public consultation following an assessment and the preparation of a draft </w:t>
      </w:r>
      <w:r w:rsidR="00621218" w:rsidRPr="00621218">
        <w:rPr>
          <w:szCs w:val="22"/>
        </w:rPr>
        <w:t>variation</w:t>
      </w:r>
      <w:r w:rsidRPr="00621218">
        <w:rPr>
          <w:szCs w:val="22"/>
        </w:rPr>
        <w:t xml:space="preserve"> and associated </w:t>
      </w:r>
      <w:r w:rsidR="006211CD" w:rsidRPr="00621218">
        <w:rPr>
          <w:szCs w:val="22"/>
        </w:rPr>
        <w:t>assessment summary</w:t>
      </w:r>
      <w:r w:rsidRPr="00621218">
        <w:rPr>
          <w:szCs w:val="22"/>
        </w:rPr>
        <w:t xml:space="preserve">. </w:t>
      </w:r>
    </w:p>
    <w:p w14:paraId="30095CE9" w14:textId="77777777" w:rsidR="00AB0275" w:rsidRPr="00621218" w:rsidRDefault="00AB0275" w:rsidP="00AB0275"/>
    <w:p w14:paraId="6A0773B0" w14:textId="3809E336" w:rsidR="00AB0275" w:rsidRPr="00621218" w:rsidRDefault="00927784" w:rsidP="00AB0275">
      <w:pPr>
        <w:widowControl/>
        <w:autoSpaceDE w:val="0"/>
        <w:autoSpaceDN w:val="0"/>
        <w:adjustRightInd w:val="0"/>
        <w:rPr>
          <w:rFonts w:cs="Arial"/>
          <w:szCs w:val="22"/>
        </w:rPr>
      </w:pPr>
      <w:r>
        <w:rPr>
          <w:rFonts w:eastAsia="Calibri" w:cs="Arial"/>
          <w:bCs/>
          <w:szCs w:val="22"/>
          <w:lang w:val="en-AU" w:bidi="ar-SA"/>
        </w:rPr>
        <w:t>A</w:t>
      </w:r>
      <w:r w:rsidRPr="00927784">
        <w:rPr>
          <w:rFonts w:eastAsia="Calibri" w:cs="Arial"/>
          <w:bCs/>
          <w:szCs w:val="22"/>
          <w:lang w:val="en-AU" w:bidi="ar-SA"/>
        </w:rPr>
        <w:t xml:space="preserve">n Impact Analysis </w:t>
      </w:r>
      <w:r w:rsidR="00AB0275" w:rsidRPr="00621218">
        <w:rPr>
          <w:rFonts w:eastAsia="Calibri" w:cs="Arial"/>
          <w:bCs/>
          <w:szCs w:val="22"/>
          <w:lang w:val="en-AU" w:bidi="ar-SA"/>
        </w:rPr>
        <w:t xml:space="preserve">was not required </w:t>
      </w:r>
      <w:r w:rsidR="00C22023">
        <w:rPr>
          <w:rFonts w:eastAsia="Calibri" w:cs="Arial"/>
          <w:bCs/>
          <w:szCs w:val="22"/>
          <w:lang w:val="en-AU" w:bidi="ar-SA"/>
        </w:rPr>
        <w:t xml:space="preserve">by the </w:t>
      </w:r>
      <w:r w:rsidR="00C22023" w:rsidRPr="00C22023">
        <w:rPr>
          <w:rFonts w:eastAsia="Calibri" w:cs="Arial"/>
          <w:bCs/>
          <w:szCs w:val="22"/>
          <w:lang w:val="en-AU" w:bidi="ar-SA"/>
        </w:rPr>
        <w:t>Office of Impact Analysis (OIA)</w:t>
      </w:r>
      <w:r w:rsidR="00C22023">
        <w:rPr>
          <w:rFonts w:eastAsia="Calibri" w:cs="Arial"/>
          <w:bCs/>
          <w:szCs w:val="22"/>
          <w:lang w:val="en-AU" w:bidi="ar-SA"/>
        </w:rPr>
        <w:t xml:space="preserve">, formerly known as the </w:t>
      </w:r>
      <w:r w:rsidR="00C22023" w:rsidRPr="00C22023">
        <w:rPr>
          <w:rFonts w:eastAsia="Calibri" w:cs="Arial"/>
          <w:bCs/>
          <w:szCs w:val="22"/>
          <w:lang w:val="en-AU" w:bidi="ar-SA"/>
        </w:rPr>
        <w:t>Office of Best Practice Regulation</w:t>
      </w:r>
      <w:r w:rsidR="002A0FD1">
        <w:rPr>
          <w:rFonts w:eastAsia="Calibri" w:cs="Arial"/>
          <w:bCs/>
          <w:szCs w:val="22"/>
          <w:lang w:val="en-AU" w:bidi="ar-SA"/>
        </w:rPr>
        <w:t xml:space="preserve"> (OBPR)</w:t>
      </w:r>
      <w:r w:rsidR="00C22023">
        <w:rPr>
          <w:rFonts w:eastAsia="Calibri" w:cs="Arial"/>
          <w:bCs/>
          <w:szCs w:val="22"/>
          <w:lang w:val="en-AU" w:bidi="ar-SA"/>
        </w:rPr>
        <w:t xml:space="preserve">, </w:t>
      </w:r>
      <w:r w:rsidR="00AB0275" w:rsidRPr="00621218">
        <w:rPr>
          <w:rFonts w:eastAsia="Calibri" w:cs="Arial"/>
          <w:bCs/>
          <w:szCs w:val="22"/>
          <w:lang w:val="en-AU" w:bidi="ar-SA"/>
        </w:rPr>
        <w:t xml:space="preserve">because the </w:t>
      </w:r>
      <w:r w:rsidR="00920C41">
        <w:rPr>
          <w:rFonts w:eastAsia="Calibri" w:cs="Arial"/>
          <w:bCs/>
          <w:szCs w:val="22"/>
          <w:lang w:val="en-AU" w:bidi="ar-SA"/>
        </w:rPr>
        <w:t xml:space="preserve">OIA considered that </w:t>
      </w:r>
      <w:r w:rsidR="00621218" w:rsidRPr="00621218">
        <w:rPr>
          <w:rFonts w:eastAsia="Calibri" w:cs="Arial"/>
          <w:bCs/>
          <w:szCs w:val="22"/>
          <w:lang w:val="en-AU" w:bidi="ar-SA"/>
        </w:rPr>
        <w:t>amendments</w:t>
      </w:r>
      <w:r w:rsidR="00AB0275" w:rsidRPr="00621218">
        <w:rPr>
          <w:rFonts w:eastAsia="Calibri" w:cs="Arial"/>
          <w:bCs/>
          <w:szCs w:val="22"/>
          <w:lang w:val="en-AU" w:bidi="ar-SA"/>
        </w:rPr>
        <w:t xml:space="preserve"> </w:t>
      </w:r>
      <w:r w:rsidR="00905D33" w:rsidRPr="00621218">
        <w:rPr>
          <w:rFonts w:eastAsia="Calibri" w:cs="Arial"/>
          <w:bCs/>
          <w:szCs w:val="22"/>
          <w:lang w:val="en-AU" w:bidi="ar-SA"/>
        </w:rPr>
        <w:t xml:space="preserve">proposed </w:t>
      </w:r>
      <w:r w:rsidR="00621218" w:rsidRPr="00621218">
        <w:rPr>
          <w:rFonts w:eastAsia="Calibri" w:cs="Arial"/>
          <w:bCs/>
          <w:szCs w:val="22"/>
          <w:lang w:val="en-AU" w:bidi="ar-SA"/>
        </w:rPr>
        <w:t>in the draft variation</w:t>
      </w:r>
      <w:r w:rsidR="00AB0275" w:rsidRPr="00621218">
        <w:rPr>
          <w:rFonts w:eastAsia="Calibri" w:cs="Arial"/>
          <w:bCs/>
          <w:szCs w:val="22"/>
          <w:lang w:val="en-AU" w:bidi="ar-SA"/>
        </w:rPr>
        <w:t xml:space="preserve"> </w:t>
      </w:r>
      <w:r w:rsidR="00AB0275" w:rsidRPr="00621218">
        <w:t xml:space="preserve">are </w:t>
      </w:r>
      <w:r w:rsidR="00195514">
        <w:t xml:space="preserve">considered </w:t>
      </w:r>
      <w:r w:rsidR="002A0FD1" w:rsidRPr="002A0FD1">
        <w:t>unlikely to have a more than minor regulatory impact</w:t>
      </w:r>
      <w:r w:rsidR="002A0FD1">
        <w:t xml:space="preserve"> </w:t>
      </w:r>
      <w:r w:rsidR="002A0FD1" w:rsidRPr="002A0FD1">
        <w:t>(OBPR22-03854)</w:t>
      </w:r>
      <w:r w:rsidR="00AB0275" w:rsidRPr="00621218">
        <w:t xml:space="preserve">. </w:t>
      </w:r>
    </w:p>
    <w:p w14:paraId="3AEE03B3" w14:textId="77777777" w:rsidR="00AB0275" w:rsidRDefault="00AB0275" w:rsidP="00AB0275">
      <w:pPr>
        <w:widowControl/>
        <w:rPr>
          <w:rFonts w:eastAsiaTheme="minorHAnsi" w:cs="Arial"/>
          <w:b/>
          <w:bCs/>
          <w:szCs w:val="22"/>
          <w:lang w:val="en-AU" w:bidi="ar-SA"/>
        </w:rPr>
      </w:pPr>
    </w:p>
    <w:p w14:paraId="5810BEEC" w14:textId="77777777" w:rsidR="00AB0275" w:rsidRDefault="00BF45FA" w:rsidP="00AB0275">
      <w:pPr>
        <w:widowControl/>
        <w:rPr>
          <w:rFonts w:eastAsiaTheme="minorHAnsi" w:cs="Arial"/>
          <w:b/>
          <w:bCs/>
          <w:szCs w:val="22"/>
          <w:lang w:val="en-AU" w:bidi="ar-SA"/>
        </w:rPr>
      </w:pPr>
      <w:r>
        <w:rPr>
          <w:rFonts w:eastAsiaTheme="minorHAnsi" w:cs="Arial"/>
          <w:b/>
          <w:bCs/>
          <w:szCs w:val="22"/>
          <w:lang w:val="en-AU" w:bidi="ar-SA"/>
        </w:rPr>
        <w:t>6</w:t>
      </w:r>
      <w:r w:rsidR="00AB0275">
        <w:rPr>
          <w:rFonts w:eastAsiaTheme="minorHAnsi" w:cs="Arial"/>
          <w:b/>
          <w:bCs/>
          <w:szCs w:val="22"/>
          <w:lang w:val="en-AU" w:bidi="ar-SA"/>
        </w:rPr>
        <w:t>.</w:t>
      </w:r>
      <w:r w:rsidR="00AB0275">
        <w:rPr>
          <w:rFonts w:eastAsiaTheme="minorHAnsi" w:cs="Arial"/>
          <w:b/>
          <w:bCs/>
          <w:szCs w:val="22"/>
          <w:lang w:val="en-AU" w:bidi="ar-SA"/>
        </w:rPr>
        <w:tab/>
        <w:t>Statement of compatibility with human rights</w:t>
      </w:r>
    </w:p>
    <w:p w14:paraId="157935DC" w14:textId="77777777" w:rsidR="00AB0275" w:rsidRDefault="00AB0275" w:rsidP="00AB0275">
      <w:pPr>
        <w:rPr>
          <w:rFonts w:eastAsiaTheme="minorHAnsi"/>
          <w:lang w:val="en-AU" w:bidi="ar-SA"/>
        </w:rPr>
      </w:pPr>
    </w:p>
    <w:p w14:paraId="6613EF65" w14:textId="5222A3C6" w:rsidR="00AB0275" w:rsidRDefault="00BF45FA" w:rsidP="00AB0275">
      <w:pPr>
        <w:rPr>
          <w:rFonts w:eastAsiaTheme="minorHAnsi"/>
          <w:lang w:val="en-AU" w:bidi="ar-SA"/>
        </w:rPr>
      </w:pPr>
      <w:r>
        <w:rPr>
          <w:rFonts w:eastAsiaTheme="minorHAnsi"/>
          <w:lang w:val="en-AU" w:bidi="ar-SA"/>
        </w:rPr>
        <w:t xml:space="preserve">If approved, this </w:t>
      </w:r>
      <w:r w:rsidR="00AB0275">
        <w:rPr>
          <w:rFonts w:eastAsiaTheme="minorHAnsi"/>
          <w:lang w:val="en-AU" w:bidi="ar-SA"/>
        </w:rPr>
        <w:t xml:space="preserve">instrument </w:t>
      </w:r>
      <w:r>
        <w:rPr>
          <w:rFonts w:eastAsiaTheme="minorHAnsi"/>
          <w:lang w:val="en-AU" w:bidi="ar-SA"/>
        </w:rPr>
        <w:t xml:space="preserve">would be </w:t>
      </w:r>
      <w:r w:rsidR="00AB0275">
        <w:rPr>
          <w:rFonts w:eastAsiaTheme="minorHAnsi"/>
          <w:lang w:val="en-AU" w:bidi="ar-SA"/>
        </w:rPr>
        <w:t xml:space="preserve">exempt from the requirements for a statement of compatibility with human rights as it </w:t>
      </w:r>
      <w:r w:rsidR="00620263">
        <w:rPr>
          <w:rFonts w:eastAsiaTheme="minorHAnsi"/>
          <w:lang w:val="en-AU" w:bidi="ar-SA"/>
        </w:rPr>
        <w:t>would be</w:t>
      </w:r>
      <w:r w:rsidR="00AB0275">
        <w:rPr>
          <w:rFonts w:eastAsiaTheme="minorHAnsi"/>
          <w:lang w:val="en-AU" w:bidi="ar-SA"/>
        </w:rPr>
        <w:t xml:space="preserve"> a non-disallowable instrument under section </w:t>
      </w:r>
      <w:r w:rsidR="00707A70">
        <w:rPr>
          <w:rFonts w:eastAsiaTheme="minorHAnsi"/>
          <w:lang w:val="en-AU" w:bidi="ar-SA"/>
        </w:rPr>
        <w:t xml:space="preserve">44 </w:t>
      </w:r>
      <w:r w:rsidR="00AB0275">
        <w:rPr>
          <w:rFonts w:eastAsiaTheme="minorHAnsi"/>
          <w:lang w:val="en-AU" w:bidi="ar-SA"/>
        </w:rPr>
        <w:t xml:space="preserve">of the </w:t>
      </w:r>
      <w:r w:rsidR="00707A70" w:rsidRPr="00AA6C34">
        <w:rPr>
          <w:rFonts w:eastAsiaTheme="minorHAnsi"/>
          <w:i/>
          <w:iCs/>
          <w:lang w:val="en-AU" w:bidi="ar-SA"/>
        </w:rPr>
        <w:t>Legislation Act 2003</w:t>
      </w:r>
      <w:r w:rsidR="00AB0275">
        <w:rPr>
          <w:rFonts w:eastAsiaTheme="minorHAnsi"/>
          <w:lang w:val="en-AU" w:bidi="ar-SA"/>
        </w:rPr>
        <w:t>.</w:t>
      </w:r>
    </w:p>
    <w:p w14:paraId="5BA2AFD2" w14:textId="77777777" w:rsidR="00C70460" w:rsidRDefault="00C70460" w:rsidP="00AB0275">
      <w:pPr>
        <w:rPr>
          <w:rFonts w:eastAsiaTheme="minorHAnsi"/>
          <w:lang w:val="en-AU" w:bidi="ar-SA"/>
        </w:rPr>
      </w:pPr>
    </w:p>
    <w:p w14:paraId="25D3D18E" w14:textId="77777777" w:rsidR="00AB0275" w:rsidRDefault="00AB0275" w:rsidP="00AB0275">
      <w:pPr>
        <w:rPr>
          <w:rFonts w:eastAsiaTheme="minorHAnsi"/>
          <w:lang w:val="en-AU" w:bidi="ar-SA"/>
        </w:rPr>
      </w:pPr>
    </w:p>
    <w:p w14:paraId="4A1B0296" w14:textId="5C0A2428" w:rsidR="00AB0275" w:rsidRPr="00700239" w:rsidRDefault="00BF45FA" w:rsidP="00AB0275">
      <w:pPr>
        <w:rPr>
          <w:b/>
          <w:lang w:val="en-AU" w:eastAsia="en-GB" w:bidi="ar-SA"/>
        </w:rPr>
      </w:pPr>
      <w:r>
        <w:rPr>
          <w:b/>
        </w:rPr>
        <w:t>7</w:t>
      </w:r>
      <w:r w:rsidR="00AB0275" w:rsidRPr="00700239">
        <w:rPr>
          <w:b/>
        </w:rPr>
        <w:t>.</w:t>
      </w:r>
      <w:r w:rsidR="00AB0275" w:rsidRPr="00700239">
        <w:rPr>
          <w:b/>
        </w:rPr>
        <w:tab/>
      </w:r>
      <w:r w:rsidR="00AB0275" w:rsidRPr="00700239">
        <w:rPr>
          <w:b/>
          <w:lang w:val="en-AU" w:eastAsia="en-GB" w:bidi="ar-SA"/>
        </w:rPr>
        <w:t>Variation</w:t>
      </w:r>
    </w:p>
    <w:p w14:paraId="093F11B5" w14:textId="77777777" w:rsidR="00AB0275" w:rsidRPr="00AD344F" w:rsidRDefault="00AB0275" w:rsidP="00AB0275">
      <w:pPr>
        <w:rPr>
          <w:b/>
        </w:rPr>
      </w:pPr>
    </w:p>
    <w:p w14:paraId="71F75823" w14:textId="361C6402" w:rsidR="00CC7515" w:rsidRDefault="009777C1" w:rsidP="009777C1">
      <w:pPr>
        <w:rPr>
          <w:b/>
          <w:i/>
        </w:rPr>
      </w:pPr>
      <w:r>
        <w:rPr>
          <w:b/>
          <w:i/>
        </w:rPr>
        <w:t>7</w:t>
      </w:r>
      <w:r w:rsidRPr="00113F7C">
        <w:rPr>
          <w:b/>
          <w:i/>
        </w:rPr>
        <w:t>.1</w:t>
      </w:r>
      <w:r w:rsidRPr="00113F7C">
        <w:rPr>
          <w:b/>
          <w:i/>
        </w:rPr>
        <w:tab/>
      </w:r>
      <w:r w:rsidR="00D20B78">
        <w:rPr>
          <w:b/>
          <w:i/>
        </w:rPr>
        <w:t>R</w:t>
      </w:r>
      <w:r w:rsidR="00D20B78" w:rsidRPr="00D20B78">
        <w:rPr>
          <w:b/>
          <w:i/>
        </w:rPr>
        <w:t>eflect</w:t>
      </w:r>
      <w:r w:rsidR="00D20B78">
        <w:rPr>
          <w:b/>
          <w:i/>
        </w:rPr>
        <w:t>ing</w:t>
      </w:r>
      <w:r w:rsidR="00D20B78" w:rsidRPr="00D20B78">
        <w:rPr>
          <w:b/>
          <w:i/>
        </w:rPr>
        <w:t xml:space="preserve"> the New Zealand decision re-mandatory fortification of folic acid</w:t>
      </w:r>
    </w:p>
    <w:p w14:paraId="6528076E" w14:textId="7BA307E5" w:rsidR="00CC7515" w:rsidRDefault="00CC7515" w:rsidP="009777C1">
      <w:pPr>
        <w:rPr>
          <w:b/>
          <w:iCs/>
        </w:rPr>
      </w:pPr>
    </w:p>
    <w:p w14:paraId="6DA7834D" w14:textId="3377D0B3" w:rsidR="000B6B45" w:rsidRPr="00E0099E" w:rsidRDefault="001D3C67" w:rsidP="009777C1">
      <w:r w:rsidRPr="007C74CD">
        <w:t>Items [</w:t>
      </w:r>
      <w:r w:rsidR="00E24A67" w:rsidRPr="00DF6DA7">
        <w:t>1</w:t>
      </w:r>
      <w:r w:rsidRPr="00DF6DA7">
        <w:t>]</w:t>
      </w:r>
      <w:r w:rsidR="00E24A67" w:rsidRPr="00DF6DA7">
        <w:t>, [5]</w:t>
      </w:r>
      <w:r w:rsidR="00633811" w:rsidRPr="00DF6DA7">
        <w:t>,</w:t>
      </w:r>
      <w:r w:rsidR="00E24A67" w:rsidRPr="00DF6DA7">
        <w:t xml:space="preserve"> </w:t>
      </w:r>
      <w:r w:rsidRPr="00DF6DA7">
        <w:t>and [</w:t>
      </w:r>
      <w:r w:rsidR="00E24A67" w:rsidRPr="00DF6DA7">
        <w:t>6</w:t>
      </w:r>
      <w:r w:rsidRPr="00DF6DA7">
        <w:t xml:space="preserve">] of the draft variation include amendments to </w:t>
      </w:r>
      <w:r w:rsidR="00EB0E95">
        <w:rPr>
          <w:lang w:bidi="ar-SA"/>
        </w:rPr>
        <w:t>reflect</w:t>
      </w:r>
      <w:r w:rsidR="00EB0E95" w:rsidRPr="0037624A">
        <w:rPr>
          <w:lang w:bidi="ar-SA"/>
        </w:rPr>
        <w:t xml:space="preserve"> </w:t>
      </w:r>
      <w:r w:rsidR="00EB0E95">
        <w:rPr>
          <w:lang w:bidi="ar-SA"/>
        </w:rPr>
        <w:t>the</w:t>
      </w:r>
      <w:r w:rsidR="00EB0E95" w:rsidRPr="0037624A">
        <w:rPr>
          <w:lang w:bidi="ar-SA"/>
        </w:rPr>
        <w:t xml:space="preserve"> </w:t>
      </w:r>
      <w:r w:rsidR="00FF76FB">
        <w:rPr>
          <w:lang w:bidi="ar-SA"/>
        </w:rPr>
        <w:t>action taken by the</w:t>
      </w:r>
      <w:r w:rsidR="000B6B45" w:rsidRPr="00FF76FB">
        <w:rPr>
          <w:lang w:bidi="ar-SA"/>
        </w:rPr>
        <w:t xml:space="preserve"> </w:t>
      </w:r>
      <w:r w:rsidR="000B6B45">
        <w:rPr>
          <w:lang w:bidi="ar-SA"/>
        </w:rPr>
        <w:t>New Zealand Government under New Zealand food</w:t>
      </w:r>
      <w:r w:rsidR="00106F18">
        <w:rPr>
          <w:lang w:bidi="ar-SA"/>
        </w:rPr>
        <w:t xml:space="preserve"> </w:t>
      </w:r>
      <w:r w:rsidR="00FF76FB">
        <w:rPr>
          <w:lang w:bidi="ar-SA"/>
        </w:rPr>
        <w:t>laws</w:t>
      </w:r>
      <w:r w:rsidR="000B6B45">
        <w:rPr>
          <w:lang w:bidi="ar-SA"/>
        </w:rPr>
        <w:t xml:space="preserve"> to require that, from 13 August 2023, all wheat flour </w:t>
      </w:r>
      <w:r w:rsidR="00505CEB" w:rsidRPr="00FF76FB">
        <w:rPr>
          <w:lang w:bidi="ar-SA"/>
        </w:rPr>
        <w:t xml:space="preserve">sold as </w:t>
      </w:r>
      <w:r w:rsidR="000B6B45">
        <w:rPr>
          <w:lang w:bidi="ar-SA"/>
        </w:rPr>
        <w:t>suitable for bread making</w:t>
      </w:r>
      <w:r w:rsidR="000B6B45" w:rsidRPr="00FF76FB">
        <w:rPr>
          <w:lang w:bidi="ar-SA"/>
        </w:rPr>
        <w:t xml:space="preserve"> in New Zealand, </w:t>
      </w:r>
      <w:r w:rsidR="00505CEB" w:rsidRPr="00FF76FB">
        <w:rPr>
          <w:lang w:bidi="ar-SA"/>
        </w:rPr>
        <w:t>contain</w:t>
      </w:r>
      <w:r w:rsidR="000B6B45">
        <w:rPr>
          <w:lang w:bidi="ar-SA"/>
        </w:rPr>
        <w:t xml:space="preserve"> folic acid in accordance with </w:t>
      </w:r>
      <w:r w:rsidR="000B6B45" w:rsidRPr="004337A8">
        <w:rPr>
          <w:rFonts w:cs="Arial"/>
        </w:rPr>
        <w:t>section 2.1.1—5 of the Code</w:t>
      </w:r>
      <w:r w:rsidR="000B6B45">
        <w:rPr>
          <w:rFonts w:cs="Arial"/>
          <w:szCs w:val="22"/>
          <w:lang w:val="en-NZ"/>
        </w:rPr>
        <w:t xml:space="preserve">. In order to reflect </w:t>
      </w:r>
      <w:r w:rsidR="00F526B6">
        <w:rPr>
          <w:rFonts w:cs="Arial"/>
          <w:szCs w:val="22"/>
          <w:lang w:val="en-NZ"/>
        </w:rPr>
        <w:t>this change</w:t>
      </w:r>
      <w:r w:rsidR="000B6B45">
        <w:rPr>
          <w:rFonts w:cs="Arial"/>
          <w:szCs w:val="22"/>
          <w:lang w:val="en-NZ"/>
        </w:rPr>
        <w:t xml:space="preserve">, </w:t>
      </w:r>
      <w:r w:rsidR="000B6B45" w:rsidRPr="004337A8">
        <w:rPr>
          <w:rFonts w:cs="Arial"/>
        </w:rPr>
        <w:t>amendment of Note 1 to section 1.1.1—3 of the Code and removal of the Note to section 2.1.1—5 of the Code</w:t>
      </w:r>
      <w:r w:rsidR="000B6B45">
        <w:rPr>
          <w:rFonts w:cs="Arial"/>
        </w:rPr>
        <w:t xml:space="preserve"> </w:t>
      </w:r>
      <w:r w:rsidR="00230A70">
        <w:rPr>
          <w:rFonts w:cs="Arial"/>
        </w:rPr>
        <w:t>are</w:t>
      </w:r>
      <w:r w:rsidR="000B6B45">
        <w:rPr>
          <w:rFonts w:cs="Arial"/>
        </w:rPr>
        <w:t xml:space="preserve"> required</w:t>
      </w:r>
      <w:r w:rsidR="000B6B45" w:rsidRPr="00FF76FB">
        <w:rPr>
          <w:rFonts w:cs="Arial"/>
        </w:rPr>
        <w:t>.</w:t>
      </w:r>
      <w:r w:rsidR="00A057F2" w:rsidRPr="00FF76FB">
        <w:rPr>
          <w:rFonts w:cs="Arial"/>
        </w:rPr>
        <w:t xml:space="preserve"> A new Note </w:t>
      </w:r>
      <w:r w:rsidR="00DC7382" w:rsidRPr="00FF76FB">
        <w:rPr>
          <w:rFonts w:cs="Arial"/>
        </w:rPr>
        <w:t>would</w:t>
      </w:r>
      <w:r w:rsidR="00A057F2" w:rsidRPr="00FF76FB">
        <w:rPr>
          <w:rFonts w:cs="Arial"/>
        </w:rPr>
        <w:t xml:space="preserve"> be </w:t>
      </w:r>
      <w:r w:rsidR="0087338F" w:rsidRPr="00FF76FB">
        <w:rPr>
          <w:rFonts w:cs="Arial"/>
        </w:rPr>
        <w:t>also</w:t>
      </w:r>
      <w:r w:rsidR="0087338F">
        <w:rPr>
          <w:rFonts w:cs="Arial"/>
        </w:rPr>
        <w:t xml:space="preserve"> </w:t>
      </w:r>
      <w:r w:rsidR="00DC7382">
        <w:rPr>
          <w:rFonts w:cs="Arial"/>
          <w:szCs w:val="22"/>
          <w:lang w:val="en-NZ"/>
        </w:rPr>
        <w:t>added</w:t>
      </w:r>
      <w:r w:rsidR="00DC7382" w:rsidRPr="002D28E3">
        <w:rPr>
          <w:rFonts w:cs="Arial"/>
          <w:szCs w:val="22"/>
          <w:lang w:val="en-NZ"/>
        </w:rPr>
        <w:t xml:space="preserve"> </w:t>
      </w:r>
      <w:r w:rsidR="00DC7382">
        <w:rPr>
          <w:rFonts w:cs="Arial"/>
          <w:szCs w:val="22"/>
          <w:lang w:val="en-NZ"/>
        </w:rPr>
        <w:t>at the end of</w:t>
      </w:r>
      <w:r w:rsidR="00DC7382" w:rsidRPr="002D28E3">
        <w:rPr>
          <w:rFonts w:cs="Arial"/>
          <w:szCs w:val="22"/>
          <w:lang w:val="en-NZ"/>
        </w:rPr>
        <w:t xml:space="preserve"> </w:t>
      </w:r>
      <w:r w:rsidR="00A057F2" w:rsidRPr="00A057F2">
        <w:rPr>
          <w:rFonts w:cs="Arial"/>
        </w:rPr>
        <w:t>paragraph 2.1.1—5(b)</w:t>
      </w:r>
      <w:r w:rsidR="00431594">
        <w:rPr>
          <w:rFonts w:cs="Arial"/>
        </w:rPr>
        <w:t>. This paragraph</w:t>
      </w:r>
      <w:r w:rsidR="00B21060">
        <w:rPr>
          <w:rFonts w:cs="Arial"/>
        </w:rPr>
        <w:t xml:space="preserve"> </w:t>
      </w:r>
      <w:r w:rsidR="00431594">
        <w:rPr>
          <w:rFonts w:cs="Arial"/>
        </w:rPr>
        <w:t>contains</w:t>
      </w:r>
      <w:r w:rsidR="00B21060">
        <w:rPr>
          <w:rFonts w:cs="Arial"/>
        </w:rPr>
        <w:t xml:space="preserve"> the requirement related to </w:t>
      </w:r>
      <w:proofErr w:type="spellStart"/>
      <w:r w:rsidR="00B21060">
        <w:rPr>
          <w:rFonts w:cs="Arial"/>
        </w:rPr>
        <w:t>thiamin</w:t>
      </w:r>
      <w:proofErr w:type="spellEnd"/>
      <w:r w:rsidR="00431594">
        <w:rPr>
          <w:rFonts w:cs="Arial"/>
        </w:rPr>
        <w:t xml:space="preserve"> and the new </w:t>
      </w:r>
      <w:r w:rsidR="00100DC8">
        <w:rPr>
          <w:rFonts w:cs="Arial"/>
        </w:rPr>
        <w:t xml:space="preserve">Note </w:t>
      </w:r>
      <w:r w:rsidR="00431594">
        <w:rPr>
          <w:rFonts w:cs="Arial"/>
        </w:rPr>
        <w:t xml:space="preserve">would </w:t>
      </w:r>
      <w:r w:rsidR="002D1CA4">
        <w:rPr>
          <w:rFonts w:cs="Arial"/>
          <w:szCs w:val="22"/>
          <w:lang w:val="en-NZ"/>
        </w:rPr>
        <w:t>clarify</w:t>
      </w:r>
      <w:r w:rsidR="002D1CA4" w:rsidRPr="002D28E3">
        <w:rPr>
          <w:rFonts w:cs="Arial"/>
          <w:szCs w:val="22"/>
          <w:lang w:val="en-NZ"/>
        </w:rPr>
        <w:t xml:space="preserve"> </w:t>
      </w:r>
      <w:r w:rsidR="00A057F2" w:rsidRPr="00A057F2">
        <w:rPr>
          <w:rFonts w:cs="Arial"/>
        </w:rPr>
        <w:lastRenderedPageBreak/>
        <w:t xml:space="preserve">that fortification with </w:t>
      </w:r>
      <w:proofErr w:type="spellStart"/>
      <w:r w:rsidR="00A057F2" w:rsidRPr="00A057F2">
        <w:rPr>
          <w:rFonts w:cs="Arial"/>
        </w:rPr>
        <w:t>thiamin</w:t>
      </w:r>
      <w:proofErr w:type="spellEnd"/>
      <w:r w:rsidR="00A057F2" w:rsidRPr="00A057F2">
        <w:rPr>
          <w:rFonts w:cs="Arial"/>
        </w:rPr>
        <w:t xml:space="preserve"> in bread flour remains applicable in Australia only</w:t>
      </w:r>
      <w:r w:rsidR="000B6B45">
        <w:rPr>
          <w:rFonts w:cs="Arial"/>
        </w:rPr>
        <w:t>.</w:t>
      </w:r>
    </w:p>
    <w:p w14:paraId="7CBD6D22" w14:textId="77777777" w:rsidR="001D3C67" w:rsidRPr="00DF6DA7" w:rsidRDefault="001D3C67" w:rsidP="009777C1">
      <w:pPr>
        <w:rPr>
          <w:b/>
          <w:iCs/>
        </w:rPr>
      </w:pPr>
    </w:p>
    <w:p w14:paraId="3C8B5A5E" w14:textId="56A657B4" w:rsidR="009777C1" w:rsidRPr="00DF6DA7" w:rsidRDefault="00CC7515" w:rsidP="009777C1">
      <w:pPr>
        <w:rPr>
          <w:b/>
        </w:rPr>
      </w:pPr>
      <w:r w:rsidRPr="00DF6DA7">
        <w:rPr>
          <w:b/>
          <w:i/>
        </w:rPr>
        <w:t>7.2</w:t>
      </w:r>
      <w:r w:rsidRPr="00DF6DA7">
        <w:rPr>
          <w:b/>
          <w:i/>
        </w:rPr>
        <w:tab/>
      </w:r>
      <w:r w:rsidR="009777C1" w:rsidRPr="00DF6DA7">
        <w:rPr>
          <w:b/>
          <w:i/>
          <w:szCs w:val="22"/>
        </w:rPr>
        <w:t xml:space="preserve">Correcting </w:t>
      </w:r>
      <w:r w:rsidRPr="00DF6DA7">
        <w:rPr>
          <w:b/>
          <w:i/>
          <w:szCs w:val="22"/>
        </w:rPr>
        <w:t>typogra</w:t>
      </w:r>
      <w:r w:rsidR="00E24804" w:rsidRPr="00DF6DA7">
        <w:rPr>
          <w:b/>
          <w:i/>
          <w:szCs w:val="22"/>
        </w:rPr>
        <w:t>p</w:t>
      </w:r>
      <w:r w:rsidRPr="00DF6DA7">
        <w:rPr>
          <w:b/>
          <w:i/>
          <w:szCs w:val="22"/>
        </w:rPr>
        <w:t>hical</w:t>
      </w:r>
      <w:r w:rsidR="009777C1" w:rsidRPr="00DF6DA7">
        <w:rPr>
          <w:b/>
          <w:i/>
          <w:szCs w:val="22"/>
        </w:rPr>
        <w:t xml:space="preserve"> errors</w:t>
      </w:r>
      <w:r w:rsidR="00615FEF" w:rsidRPr="00DF6DA7">
        <w:rPr>
          <w:b/>
          <w:i/>
          <w:szCs w:val="22"/>
        </w:rPr>
        <w:t>,</w:t>
      </w:r>
      <w:r w:rsidR="009777C1" w:rsidRPr="00DF6DA7">
        <w:rPr>
          <w:b/>
          <w:i/>
          <w:szCs w:val="22"/>
        </w:rPr>
        <w:t xml:space="preserve"> omissions</w:t>
      </w:r>
      <w:r w:rsidR="00615FEF" w:rsidRPr="00DF6DA7">
        <w:rPr>
          <w:b/>
          <w:i/>
          <w:szCs w:val="22"/>
        </w:rPr>
        <w:t>, inconsistencies and formatting</w:t>
      </w:r>
    </w:p>
    <w:p w14:paraId="22F910B3" w14:textId="74E5ACFE" w:rsidR="00AB0275" w:rsidRPr="00DF6DA7" w:rsidRDefault="00AB0275" w:rsidP="00AB0275"/>
    <w:p w14:paraId="2A2A79F8" w14:textId="4C5C32B8" w:rsidR="009777C1" w:rsidRPr="00DF6DA7" w:rsidRDefault="009777C1" w:rsidP="00AB0275">
      <w:r w:rsidRPr="00DF6DA7">
        <w:t>Items [</w:t>
      </w:r>
      <w:r w:rsidR="00DA4CAB" w:rsidRPr="00DF6DA7">
        <w:t>4</w:t>
      </w:r>
      <w:r w:rsidRPr="00DF6DA7">
        <w:t>], [</w:t>
      </w:r>
      <w:r w:rsidR="00DA4CAB" w:rsidRPr="00DF6DA7">
        <w:t>8</w:t>
      </w:r>
      <w:r w:rsidRPr="00DF6DA7">
        <w:t>]</w:t>
      </w:r>
      <w:r w:rsidR="00DA4CAB" w:rsidRPr="00DF6DA7">
        <w:t xml:space="preserve">, [9], [11], </w:t>
      </w:r>
      <w:r w:rsidR="00EA77F1" w:rsidRPr="00DF6DA7">
        <w:t xml:space="preserve">[15], </w:t>
      </w:r>
      <w:r w:rsidR="00633811" w:rsidRPr="00DF6DA7">
        <w:t xml:space="preserve">and </w:t>
      </w:r>
      <w:r w:rsidR="00EA77F1" w:rsidRPr="00DF6DA7">
        <w:t>[19] – [58]</w:t>
      </w:r>
      <w:r w:rsidRPr="00DF6DA7">
        <w:t xml:space="preserve"> of the draft variation include amendments to correct </w:t>
      </w:r>
      <w:r w:rsidR="006E2B69" w:rsidRPr="00DF6DA7">
        <w:t>typographical errors, omissions, and formatting issues</w:t>
      </w:r>
      <w:r w:rsidR="007B2EF4" w:rsidRPr="00DF6DA7">
        <w:t>;</w:t>
      </w:r>
      <w:r w:rsidRPr="00DF6DA7">
        <w:t xml:space="preserve"> and </w:t>
      </w:r>
      <w:r w:rsidR="009809E6" w:rsidRPr="00DF6DA7">
        <w:t xml:space="preserve">to </w:t>
      </w:r>
      <w:r w:rsidR="007B2EF4" w:rsidRPr="00DF6DA7">
        <w:t>improve consistency across the Code</w:t>
      </w:r>
      <w:r w:rsidRPr="00DF6DA7">
        <w:t>.</w:t>
      </w:r>
    </w:p>
    <w:p w14:paraId="54E09C18" w14:textId="47D12EBE" w:rsidR="009777C1" w:rsidRPr="00DF6DA7" w:rsidRDefault="009777C1" w:rsidP="00AB0275"/>
    <w:p w14:paraId="3243909E" w14:textId="7016D2B6" w:rsidR="00A110A0" w:rsidRPr="00DF6DA7" w:rsidRDefault="00A110A0" w:rsidP="00472BA3">
      <w:pPr>
        <w:rPr>
          <w:b/>
          <w:i/>
          <w:szCs w:val="22"/>
        </w:rPr>
      </w:pPr>
      <w:r w:rsidRPr="00DF6DA7">
        <w:rPr>
          <w:b/>
          <w:i/>
          <w:szCs w:val="22"/>
        </w:rPr>
        <w:t>7.3</w:t>
      </w:r>
      <w:r w:rsidRPr="00DF6DA7">
        <w:rPr>
          <w:b/>
          <w:i/>
          <w:szCs w:val="22"/>
        </w:rPr>
        <w:tab/>
        <w:t>Removing outdated clause</w:t>
      </w:r>
    </w:p>
    <w:p w14:paraId="369E92CB" w14:textId="7C724731" w:rsidR="00A110A0" w:rsidRPr="00DF6DA7" w:rsidRDefault="00A110A0" w:rsidP="00472BA3">
      <w:pPr>
        <w:rPr>
          <w:b/>
          <w:i/>
          <w:szCs w:val="22"/>
        </w:rPr>
      </w:pPr>
    </w:p>
    <w:p w14:paraId="47220DA6" w14:textId="4FBADB75" w:rsidR="00A110A0" w:rsidRPr="00DF6DA7" w:rsidRDefault="00A110A0" w:rsidP="00472BA3">
      <w:r w:rsidRPr="00DF6DA7">
        <w:t xml:space="preserve">Item [10] of the draft variation includes an amendment to remove an outdated clause, which only applied to food businesses that existed at the time of the commencement of the clause. Due to the passage of time, the clause </w:t>
      </w:r>
      <w:r w:rsidR="00EA77F1" w:rsidRPr="00DF6DA7">
        <w:t xml:space="preserve">is </w:t>
      </w:r>
      <w:r w:rsidRPr="00DF6DA7">
        <w:t xml:space="preserve">no longer </w:t>
      </w:r>
      <w:r w:rsidR="00EA77F1" w:rsidRPr="00DF6DA7">
        <w:t>operative</w:t>
      </w:r>
      <w:r w:rsidRPr="00DF6DA7">
        <w:t>.</w:t>
      </w:r>
    </w:p>
    <w:p w14:paraId="2817FAFE" w14:textId="77777777" w:rsidR="00A110A0" w:rsidRPr="00DF6DA7" w:rsidRDefault="00A110A0" w:rsidP="00472BA3">
      <w:pPr>
        <w:rPr>
          <w:b/>
          <w:i/>
          <w:szCs w:val="22"/>
        </w:rPr>
      </w:pPr>
    </w:p>
    <w:p w14:paraId="5AAA7AFD" w14:textId="650FBECF" w:rsidR="00472BA3" w:rsidRPr="00DF6DA7" w:rsidRDefault="00472BA3" w:rsidP="00472BA3">
      <w:pPr>
        <w:rPr>
          <w:b/>
          <w:i/>
          <w:szCs w:val="22"/>
        </w:rPr>
      </w:pPr>
      <w:r w:rsidRPr="00DF6DA7">
        <w:rPr>
          <w:b/>
          <w:i/>
          <w:szCs w:val="22"/>
        </w:rPr>
        <w:t>7.</w:t>
      </w:r>
      <w:r w:rsidR="00A110A0" w:rsidRPr="00DF6DA7">
        <w:rPr>
          <w:b/>
          <w:i/>
          <w:szCs w:val="22"/>
        </w:rPr>
        <w:t>4</w:t>
      </w:r>
      <w:r w:rsidRPr="00DF6DA7">
        <w:rPr>
          <w:b/>
          <w:i/>
          <w:szCs w:val="22"/>
        </w:rPr>
        <w:tab/>
        <w:t>Updating references</w:t>
      </w:r>
    </w:p>
    <w:p w14:paraId="593D2D20" w14:textId="77777777" w:rsidR="00472BA3" w:rsidRPr="00DF6DA7" w:rsidRDefault="00472BA3" w:rsidP="00472BA3"/>
    <w:p w14:paraId="3EFB09B0" w14:textId="074412D5" w:rsidR="009777C1" w:rsidRPr="00DF6DA7" w:rsidRDefault="00472BA3" w:rsidP="00472BA3">
      <w:r w:rsidRPr="00DF6DA7">
        <w:t>Items [</w:t>
      </w:r>
      <w:r w:rsidR="00AB6CEF" w:rsidRPr="00DF6DA7">
        <w:t>2</w:t>
      </w:r>
      <w:r w:rsidRPr="00DF6DA7">
        <w:t>], [</w:t>
      </w:r>
      <w:r w:rsidR="00AB6CEF" w:rsidRPr="00DF6DA7">
        <w:t>3</w:t>
      </w:r>
      <w:r w:rsidRPr="00DF6DA7">
        <w:t>]</w:t>
      </w:r>
      <w:r w:rsidR="00AB6CEF" w:rsidRPr="00DF6DA7">
        <w:t xml:space="preserve">, [7], </w:t>
      </w:r>
      <w:r w:rsidR="0086344C" w:rsidRPr="00DF6DA7">
        <w:t>[12]</w:t>
      </w:r>
      <w:r w:rsidR="000F339D" w:rsidRPr="00DF6DA7">
        <w:t xml:space="preserve"> - </w:t>
      </w:r>
      <w:r w:rsidR="0005045A" w:rsidRPr="00DF6DA7">
        <w:t>[14]</w:t>
      </w:r>
      <w:r w:rsidR="00633811" w:rsidRPr="00DF6DA7">
        <w:t>,</w:t>
      </w:r>
      <w:r w:rsidR="0005045A" w:rsidRPr="00DF6DA7">
        <w:t xml:space="preserve"> </w:t>
      </w:r>
      <w:r w:rsidR="00726667" w:rsidRPr="00DF6DA7">
        <w:t xml:space="preserve">and </w:t>
      </w:r>
      <w:r w:rsidR="0005045A" w:rsidRPr="00DF6DA7">
        <w:t>[16] – [18]</w:t>
      </w:r>
      <w:r w:rsidRPr="00DF6DA7">
        <w:t xml:space="preserve"> of the draft variation </w:t>
      </w:r>
      <w:r w:rsidR="00EA16DB" w:rsidRPr="00DF6DA7">
        <w:t>include amendments to update references</w:t>
      </w:r>
      <w:r w:rsidR="00CF193B" w:rsidRPr="00DF6DA7">
        <w:t xml:space="preserve"> in the Code</w:t>
      </w:r>
      <w:r w:rsidR="00EE001C" w:rsidRPr="00DF6DA7">
        <w:t>.</w:t>
      </w:r>
    </w:p>
    <w:p w14:paraId="4802687C" w14:textId="77777777" w:rsidR="007C174F" w:rsidRDefault="007C174F" w:rsidP="007C174F"/>
    <w:p w14:paraId="1F6F4580"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DE03" w14:textId="77777777" w:rsidR="003C3B0E" w:rsidRDefault="003C3B0E">
      <w:r>
        <w:separator/>
      </w:r>
    </w:p>
  </w:endnote>
  <w:endnote w:type="continuationSeparator" w:id="0">
    <w:p w14:paraId="41A844EA" w14:textId="77777777" w:rsidR="003C3B0E" w:rsidRDefault="003C3B0E">
      <w:r>
        <w:continuationSeparator/>
      </w:r>
    </w:p>
  </w:endnote>
  <w:endnote w:type="continuationNotice" w:id="1">
    <w:p w14:paraId="191359FE" w14:textId="77777777" w:rsidR="003C3B0E" w:rsidRDefault="003C3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9BDC" w14:textId="77777777" w:rsidR="005A7EC4" w:rsidRPr="003F50FC" w:rsidRDefault="005A7EC4" w:rsidP="005A7EC4">
    <w:pPr>
      <w:framePr w:wrap="around" w:vAnchor="text" w:hAnchor="margin" w:xAlign="center" w:y="1"/>
      <w:jc w:val="center"/>
      <w:rPr>
        <w:rFonts w:ascii="Calibri" w:hAnsi="Calibri" w:cs="Calibri"/>
        <w:b/>
        <w:color w:val="F00000"/>
        <w:sz w:val="24"/>
      </w:rPr>
    </w:pPr>
    <w:r>
      <w:rPr>
        <w:rFonts w:asciiTheme="minorHAnsi" w:eastAsiaTheme="minorEastAsia" w:hAnsiTheme="minorHAnsi"/>
        <w:sz w:val="3276"/>
        <w:szCs w:val="3276"/>
        <w:lang w:val="en-AU" w:eastAsia="en-AU"/>
      </w:rPr>
      <w:fldChar w:fldCharType="begin" w:fldLock="1"/>
    </w:r>
    <w:r>
      <w:instrText xml:space="preserve"> DOCPROPERTY bjFooterEvenPageDocProperty \* MERGEFORMAT </w:instrText>
    </w:r>
    <w:r>
      <w:rPr>
        <w:rFonts w:asciiTheme="minorHAnsi" w:eastAsiaTheme="minorEastAsia" w:hAnsiTheme="minorHAnsi"/>
        <w:sz w:val="3276"/>
        <w:szCs w:val="3276"/>
        <w:lang w:val="en-AU" w:eastAsia="en-AU"/>
      </w:rPr>
      <w:fldChar w:fldCharType="separate"/>
    </w:r>
  </w:p>
  <w:p w14:paraId="6865B529" w14:textId="522625B5" w:rsidR="00BF45FA" w:rsidRDefault="005A7EC4" w:rsidP="005A7EC4">
    <w:pPr>
      <w:pStyle w:val="Footer"/>
      <w:framePr w:wrap="around" w:vAnchor="text" w:hAnchor="margin" w:xAlign="center" w:y="1"/>
      <w:jc w:val="center"/>
      <w:rPr>
        <w:rStyle w:val="PageNumber"/>
      </w:rPr>
    </w:pPr>
    <w:r w:rsidRPr="003F50FC">
      <w:rPr>
        <w:rFonts w:ascii="Calibri" w:hAnsi="Calibri" w:cs="Calibri"/>
        <w:b/>
        <w:color w:val="F00000"/>
        <w:sz w:val="24"/>
      </w:rPr>
      <w:t>OFFICIAL</w:t>
    </w:r>
    <w:r>
      <w:t xml:space="preserve"> </w:t>
    </w:r>
    <w:r>
      <w:fldChar w:fldCharType="end"/>
    </w:r>
    <w:r w:rsidR="00BF45FA">
      <w:rPr>
        <w:rStyle w:val="PageNumber"/>
      </w:rPr>
      <w:fldChar w:fldCharType="begin"/>
    </w:r>
    <w:r w:rsidR="00BF45FA">
      <w:rPr>
        <w:rStyle w:val="PageNumber"/>
      </w:rPr>
      <w:instrText xml:space="preserve">PAGE  </w:instrText>
    </w:r>
    <w:r w:rsidR="00BF45FA">
      <w:rPr>
        <w:rStyle w:val="PageNumber"/>
      </w:rPr>
      <w:fldChar w:fldCharType="end"/>
    </w:r>
  </w:p>
  <w:p w14:paraId="20E3E0DB" w14:textId="77777777" w:rsidR="00BF45FA" w:rsidRDefault="00BF45FA" w:rsidP="005A7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546F" w14:textId="3DEE8B46" w:rsidR="00BF45FA" w:rsidRDefault="00BF45F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492F">
      <w:rPr>
        <w:rStyle w:val="PageNumber"/>
        <w:noProof/>
      </w:rPr>
      <w:t>i</w:t>
    </w:r>
    <w:r>
      <w:rPr>
        <w:rStyle w:val="PageNumber"/>
      </w:rPr>
      <w:fldChar w:fldCharType="end"/>
    </w:r>
  </w:p>
  <w:p w14:paraId="1F5FCA84" w14:textId="77777777" w:rsidR="00BF45FA" w:rsidRDefault="00BF45FA" w:rsidP="005A7EC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ED82" w14:textId="77777777" w:rsidR="005A7EC4" w:rsidRPr="003F50FC" w:rsidRDefault="005A7EC4" w:rsidP="005A7EC4">
    <w:pPr>
      <w:jc w:val="center"/>
      <w:rPr>
        <w:rFonts w:ascii="Calibri" w:hAnsi="Calibri" w:cs="Calibri"/>
        <w:b/>
        <w:color w:val="F00000"/>
        <w:sz w:val="24"/>
      </w:rPr>
    </w:pPr>
    <w:r>
      <w:rPr>
        <w:rFonts w:asciiTheme="minorHAnsi" w:eastAsiaTheme="minorEastAsia" w:hAnsiTheme="minorHAnsi"/>
        <w:sz w:val="3276"/>
        <w:szCs w:val="3276"/>
        <w:lang w:val="en-AU" w:eastAsia="en-AU"/>
      </w:rPr>
      <w:fldChar w:fldCharType="begin" w:fldLock="1"/>
    </w:r>
    <w:r>
      <w:instrText xml:space="preserve"> DOCPROPERTY bjFooterFirstPageDocProperty \* MERGEFORMAT </w:instrText>
    </w:r>
    <w:r>
      <w:rPr>
        <w:rFonts w:asciiTheme="minorHAnsi" w:eastAsiaTheme="minorEastAsia" w:hAnsiTheme="minorHAnsi"/>
        <w:sz w:val="3276"/>
        <w:szCs w:val="3276"/>
        <w:lang w:val="en-AU" w:eastAsia="en-AU"/>
      </w:rPr>
      <w:fldChar w:fldCharType="separate"/>
    </w:r>
  </w:p>
  <w:p w14:paraId="6C0581E8" w14:textId="70475FC0" w:rsidR="00BF45FA" w:rsidRPr="005A7EC4" w:rsidRDefault="005A7EC4" w:rsidP="005A7EC4">
    <w:pPr>
      <w:pStyle w:val="Footer"/>
      <w:jc w:val="center"/>
    </w:pPr>
    <w:r w:rsidRPr="003F50FC">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9F04" w14:textId="77777777" w:rsidR="003C3B0E" w:rsidRDefault="003C3B0E">
      <w:r>
        <w:separator/>
      </w:r>
    </w:p>
  </w:footnote>
  <w:footnote w:type="continuationSeparator" w:id="0">
    <w:p w14:paraId="2BBC58F2" w14:textId="77777777" w:rsidR="003C3B0E" w:rsidRDefault="003C3B0E">
      <w:r>
        <w:continuationSeparator/>
      </w:r>
    </w:p>
  </w:footnote>
  <w:footnote w:type="continuationNotice" w:id="1">
    <w:p w14:paraId="5208C035" w14:textId="77777777" w:rsidR="003C3B0E" w:rsidRDefault="003C3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C189" w14:textId="77777777" w:rsidR="005A7EC4" w:rsidRPr="003F50FC" w:rsidRDefault="005A7EC4" w:rsidP="005A7EC4">
    <w:pPr>
      <w:jc w:val="center"/>
      <w:rPr>
        <w:rFonts w:ascii="Calibri" w:hAnsi="Calibri" w:cs="Calibri"/>
        <w:b/>
        <w:color w:val="F00000"/>
        <w:sz w:val="24"/>
      </w:rPr>
    </w:pPr>
    <w:r>
      <w:rPr>
        <w:rFonts w:asciiTheme="minorHAnsi" w:eastAsiaTheme="minorEastAsia" w:hAnsiTheme="minorHAnsi"/>
        <w:sz w:val="3276"/>
        <w:szCs w:val="3276"/>
        <w:lang w:val="en-AU" w:eastAsia="en-AU"/>
      </w:rPr>
      <w:fldChar w:fldCharType="begin" w:fldLock="1"/>
    </w:r>
    <w:r>
      <w:instrText xml:space="preserve"> DOCPROPERTY bjHeaderEvenPageDocProperty \* MERGEFORMAT </w:instrText>
    </w:r>
    <w:r>
      <w:rPr>
        <w:rFonts w:asciiTheme="minorHAnsi" w:eastAsiaTheme="minorEastAsia" w:hAnsiTheme="minorHAnsi"/>
        <w:sz w:val="3276"/>
        <w:szCs w:val="3276"/>
        <w:lang w:val="en-AU" w:eastAsia="en-AU"/>
      </w:rPr>
      <w:fldChar w:fldCharType="separate"/>
    </w:r>
    <w:r w:rsidRPr="003F50FC">
      <w:rPr>
        <w:rFonts w:ascii="Calibri" w:hAnsi="Calibri" w:cs="Calibri"/>
        <w:b/>
        <w:color w:val="F00000"/>
        <w:sz w:val="24"/>
      </w:rPr>
      <w:t>OFFICIAL</w:t>
    </w:r>
  </w:p>
  <w:p w14:paraId="3CC9E7E9" w14:textId="6E727C0F" w:rsidR="00BF45FA" w:rsidRPr="005A7EC4" w:rsidRDefault="005A7EC4" w:rsidP="005A7EC4">
    <w:pPr>
      <w:pStyle w:val="Header"/>
      <w:jc w:val="center"/>
    </w:pPr>
    <w:r w:rsidRPr="003F50FC">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D603" w14:textId="4DD028CB" w:rsidR="005A7EC4" w:rsidRPr="003F50FC" w:rsidRDefault="005A7EC4" w:rsidP="005A7EC4">
    <w:pPr>
      <w:jc w:val="center"/>
      <w:rPr>
        <w:rFonts w:ascii="Calibri" w:hAnsi="Calibri" w:cs="Calibri"/>
        <w:b/>
        <w:color w:val="F00000"/>
        <w:sz w:val="24"/>
      </w:rPr>
    </w:pPr>
    <w:r>
      <w:rPr>
        <w:rFonts w:asciiTheme="minorHAnsi" w:eastAsiaTheme="minorEastAsia" w:hAnsiTheme="minorHAnsi"/>
        <w:sz w:val="3276"/>
        <w:szCs w:val="3276"/>
        <w:lang w:val="en-AU" w:eastAsia="en-AU"/>
      </w:rPr>
      <w:fldChar w:fldCharType="begin" w:fldLock="1"/>
    </w:r>
    <w:r>
      <w:instrText xml:space="preserve"> DOCPROPERTY bjHeaderBothDocProperty \* MERGEFORMAT </w:instrText>
    </w:r>
    <w:r>
      <w:rPr>
        <w:rFonts w:asciiTheme="minorHAnsi" w:eastAsiaTheme="minorEastAsia" w:hAnsiTheme="minorHAnsi"/>
        <w:sz w:val="3276"/>
        <w:szCs w:val="3276"/>
        <w:lang w:val="en-AU" w:eastAsia="en-AU"/>
      </w:rPr>
      <w:fldChar w:fldCharType="separate"/>
    </w:r>
  </w:p>
  <w:p w14:paraId="7D9EC0AA" w14:textId="0FD1F0C8" w:rsidR="00BF45FA" w:rsidRPr="005A7EC4" w:rsidRDefault="005A7EC4" w:rsidP="005A7EC4">
    <w:pPr>
      <w:pStyle w:val="Header"/>
      <w:jc w:val="center"/>
    </w:pPr>
    <w:r w:rsidRPr="003F50FC">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69D4" w14:textId="77777777" w:rsidR="005A7EC4" w:rsidRPr="003F50FC" w:rsidRDefault="005A7EC4" w:rsidP="005A7EC4">
    <w:pPr>
      <w:jc w:val="center"/>
      <w:rPr>
        <w:rFonts w:ascii="Calibri" w:hAnsi="Calibri" w:cs="Calibri"/>
        <w:b/>
        <w:color w:val="F00000"/>
        <w:sz w:val="24"/>
      </w:rPr>
    </w:pPr>
    <w:r>
      <w:rPr>
        <w:rFonts w:asciiTheme="minorHAnsi" w:eastAsiaTheme="minorEastAsia" w:hAnsiTheme="minorHAnsi"/>
        <w:sz w:val="3276"/>
        <w:szCs w:val="3276"/>
        <w:lang w:val="en-AU" w:eastAsia="en-AU"/>
      </w:rPr>
      <w:fldChar w:fldCharType="begin" w:fldLock="1"/>
    </w:r>
    <w:r>
      <w:instrText xml:space="preserve"> DOCPROPERTY bjHeaderFirstPageDocProperty \* MERGEFORMAT </w:instrText>
    </w:r>
    <w:r>
      <w:rPr>
        <w:rFonts w:asciiTheme="minorHAnsi" w:eastAsiaTheme="minorEastAsia" w:hAnsiTheme="minorHAnsi"/>
        <w:sz w:val="3276"/>
        <w:szCs w:val="3276"/>
        <w:lang w:val="en-AU" w:eastAsia="en-AU"/>
      </w:rPr>
      <w:fldChar w:fldCharType="separate"/>
    </w:r>
    <w:r w:rsidRPr="003F50FC">
      <w:rPr>
        <w:rFonts w:ascii="Calibri" w:hAnsi="Calibri" w:cs="Calibri"/>
        <w:b/>
        <w:color w:val="F00000"/>
        <w:sz w:val="24"/>
      </w:rPr>
      <w:t>OFFICIAL</w:t>
    </w:r>
  </w:p>
  <w:p w14:paraId="3DBA8F9E" w14:textId="44FCC428" w:rsidR="005A7EC4" w:rsidRDefault="005A7EC4" w:rsidP="005A7EC4">
    <w:pPr>
      <w:pStyle w:val="Header"/>
      <w:jc w:val="center"/>
      <w:rPr>
        <w:b/>
        <w:bCs/>
      </w:rPr>
    </w:pPr>
    <w:r w:rsidRPr="003F50FC">
      <w:rPr>
        <w:rFonts w:ascii="Calibri" w:hAnsi="Calibri" w:cs="Calibri"/>
        <w:b/>
        <w:color w:val="F00000"/>
        <w:sz w:val="24"/>
      </w:rPr>
      <w:t xml:space="preserve"> </w:t>
    </w:r>
    <w:r>
      <w:fldChar w:fldCharType="end"/>
    </w:r>
  </w:p>
  <w:p w14:paraId="5E2AFAC9" w14:textId="530D3BC3" w:rsidR="00BF45FA" w:rsidRDefault="00BF45F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40978"/>
    <w:multiLevelType w:val="hybridMultilevel"/>
    <w:tmpl w:val="E5A0B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D03E6"/>
    <w:multiLevelType w:val="multilevel"/>
    <w:tmpl w:val="8C26030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9B576D"/>
    <w:multiLevelType w:val="hybridMultilevel"/>
    <w:tmpl w:val="95F2E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548F4"/>
    <w:multiLevelType w:val="hybridMultilevel"/>
    <w:tmpl w:val="5CBC14A4"/>
    <w:lvl w:ilvl="0" w:tplc="6994B8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70C4B4F"/>
    <w:multiLevelType w:val="hybridMultilevel"/>
    <w:tmpl w:val="A95A8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DD44EA"/>
    <w:multiLevelType w:val="hybridMultilevel"/>
    <w:tmpl w:val="2BE6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F57340"/>
    <w:multiLevelType w:val="hybridMultilevel"/>
    <w:tmpl w:val="3E802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C6644A"/>
    <w:multiLevelType w:val="hybridMultilevel"/>
    <w:tmpl w:val="7BF86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15:restartNumberingAfterBreak="0">
    <w:nsid w:val="7940696E"/>
    <w:multiLevelType w:val="hybridMultilevel"/>
    <w:tmpl w:val="F33E3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882403">
    <w:abstractNumId w:val="1"/>
  </w:num>
  <w:num w:numId="2" w16cid:durableId="69273343">
    <w:abstractNumId w:val="12"/>
  </w:num>
  <w:num w:numId="3" w16cid:durableId="501092077">
    <w:abstractNumId w:val="0"/>
  </w:num>
  <w:num w:numId="4" w16cid:durableId="345863663">
    <w:abstractNumId w:val="15"/>
  </w:num>
  <w:num w:numId="5" w16cid:durableId="16213772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9026051">
    <w:abstractNumId w:val="5"/>
  </w:num>
  <w:num w:numId="7" w16cid:durableId="273904420">
    <w:abstractNumId w:val="16"/>
  </w:num>
  <w:num w:numId="8" w16cid:durableId="269361528">
    <w:abstractNumId w:val="11"/>
  </w:num>
  <w:num w:numId="9" w16cid:durableId="440416838">
    <w:abstractNumId w:val="6"/>
  </w:num>
  <w:num w:numId="10" w16cid:durableId="1196311501">
    <w:abstractNumId w:val="13"/>
  </w:num>
  <w:num w:numId="11" w16cid:durableId="789207211">
    <w:abstractNumId w:val="12"/>
  </w:num>
  <w:num w:numId="12" w16cid:durableId="1828158649">
    <w:abstractNumId w:val="12"/>
  </w:num>
  <w:num w:numId="13" w16cid:durableId="1381782152">
    <w:abstractNumId w:val="14"/>
  </w:num>
  <w:num w:numId="14" w16cid:durableId="1806698798">
    <w:abstractNumId w:val="3"/>
  </w:num>
  <w:num w:numId="15" w16cid:durableId="1656687609">
    <w:abstractNumId w:val="17"/>
  </w:num>
  <w:num w:numId="16" w16cid:durableId="317661300">
    <w:abstractNumId w:val="10"/>
  </w:num>
  <w:num w:numId="17" w16cid:durableId="204408922">
    <w:abstractNumId w:val="4"/>
  </w:num>
  <w:num w:numId="18" w16cid:durableId="487870627">
    <w:abstractNumId w:val="7"/>
  </w:num>
  <w:num w:numId="19" w16cid:durableId="1259754550">
    <w:abstractNumId w:val="9"/>
  </w:num>
  <w:num w:numId="20" w16cid:durableId="31696255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0F"/>
    <w:rsid w:val="00000D07"/>
    <w:rsid w:val="00001CF2"/>
    <w:rsid w:val="00001F2F"/>
    <w:rsid w:val="0000247B"/>
    <w:rsid w:val="00002806"/>
    <w:rsid w:val="00004274"/>
    <w:rsid w:val="0000469B"/>
    <w:rsid w:val="00005980"/>
    <w:rsid w:val="000116A4"/>
    <w:rsid w:val="00016CB6"/>
    <w:rsid w:val="000216E2"/>
    <w:rsid w:val="00022DBC"/>
    <w:rsid w:val="00023B6C"/>
    <w:rsid w:val="00024DAE"/>
    <w:rsid w:val="000269BA"/>
    <w:rsid w:val="00031B35"/>
    <w:rsid w:val="000335E1"/>
    <w:rsid w:val="00033D47"/>
    <w:rsid w:val="00034222"/>
    <w:rsid w:val="00034F87"/>
    <w:rsid w:val="00035FF3"/>
    <w:rsid w:val="0004216F"/>
    <w:rsid w:val="000427B2"/>
    <w:rsid w:val="000471E6"/>
    <w:rsid w:val="0005045A"/>
    <w:rsid w:val="00051021"/>
    <w:rsid w:val="00051ED9"/>
    <w:rsid w:val="00051F98"/>
    <w:rsid w:val="0005481C"/>
    <w:rsid w:val="000564DE"/>
    <w:rsid w:val="00057084"/>
    <w:rsid w:val="00057181"/>
    <w:rsid w:val="000602A6"/>
    <w:rsid w:val="00061EC1"/>
    <w:rsid w:val="00064B2D"/>
    <w:rsid w:val="000653B8"/>
    <w:rsid w:val="00065F1F"/>
    <w:rsid w:val="000735FD"/>
    <w:rsid w:val="0007390F"/>
    <w:rsid w:val="0007466A"/>
    <w:rsid w:val="000747A4"/>
    <w:rsid w:val="00076D33"/>
    <w:rsid w:val="000778D6"/>
    <w:rsid w:val="00080A6A"/>
    <w:rsid w:val="00086BCA"/>
    <w:rsid w:val="00087414"/>
    <w:rsid w:val="000877DD"/>
    <w:rsid w:val="00091CC2"/>
    <w:rsid w:val="00091F66"/>
    <w:rsid w:val="00092FFA"/>
    <w:rsid w:val="000930BC"/>
    <w:rsid w:val="000961FD"/>
    <w:rsid w:val="000A035E"/>
    <w:rsid w:val="000A2173"/>
    <w:rsid w:val="000A27E9"/>
    <w:rsid w:val="000A3D8B"/>
    <w:rsid w:val="000A4987"/>
    <w:rsid w:val="000A5845"/>
    <w:rsid w:val="000A5DF8"/>
    <w:rsid w:val="000A6F8E"/>
    <w:rsid w:val="000A73F7"/>
    <w:rsid w:val="000A7B7F"/>
    <w:rsid w:val="000B6AF2"/>
    <w:rsid w:val="000B6B45"/>
    <w:rsid w:val="000B6C08"/>
    <w:rsid w:val="000B7D2F"/>
    <w:rsid w:val="000C1A66"/>
    <w:rsid w:val="000C412C"/>
    <w:rsid w:val="000C4D5B"/>
    <w:rsid w:val="000C52AC"/>
    <w:rsid w:val="000D059C"/>
    <w:rsid w:val="000D17C0"/>
    <w:rsid w:val="000D295F"/>
    <w:rsid w:val="000D6FD4"/>
    <w:rsid w:val="000E046F"/>
    <w:rsid w:val="000E0AE4"/>
    <w:rsid w:val="000E318B"/>
    <w:rsid w:val="000E3DBC"/>
    <w:rsid w:val="000F339D"/>
    <w:rsid w:val="000F7DC8"/>
    <w:rsid w:val="00100403"/>
    <w:rsid w:val="00100461"/>
    <w:rsid w:val="00100DC8"/>
    <w:rsid w:val="0010287F"/>
    <w:rsid w:val="0010535B"/>
    <w:rsid w:val="00106F18"/>
    <w:rsid w:val="0010718A"/>
    <w:rsid w:val="00110776"/>
    <w:rsid w:val="00113CE3"/>
    <w:rsid w:val="001145E2"/>
    <w:rsid w:val="001173FB"/>
    <w:rsid w:val="00117522"/>
    <w:rsid w:val="00125A04"/>
    <w:rsid w:val="00127302"/>
    <w:rsid w:val="0013569F"/>
    <w:rsid w:val="0014095D"/>
    <w:rsid w:val="00143F0C"/>
    <w:rsid w:val="00144B46"/>
    <w:rsid w:val="001458D2"/>
    <w:rsid w:val="00150788"/>
    <w:rsid w:val="00151550"/>
    <w:rsid w:val="001542D8"/>
    <w:rsid w:val="00154A52"/>
    <w:rsid w:val="00154D14"/>
    <w:rsid w:val="00156420"/>
    <w:rsid w:val="00157CEC"/>
    <w:rsid w:val="00164317"/>
    <w:rsid w:val="0016509A"/>
    <w:rsid w:val="00171D2A"/>
    <w:rsid w:val="00176DD2"/>
    <w:rsid w:val="00180C41"/>
    <w:rsid w:val="00182C4C"/>
    <w:rsid w:val="00186754"/>
    <w:rsid w:val="00186BD1"/>
    <w:rsid w:val="00190C75"/>
    <w:rsid w:val="001914ED"/>
    <w:rsid w:val="0019275B"/>
    <w:rsid w:val="00193111"/>
    <w:rsid w:val="00195254"/>
    <w:rsid w:val="00195514"/>
    <w:rsid w:val="00195F3E"/>
    <w:rsid w:val="00196411"/>
    <w:rsid w:val="00197D8D"/>
    <w:rsid w:val="00197EF1"/>
    <w:rsid w:val="001A1A75"/>
    <w:rsid w:val="001A5922"/>
    <w:rsid w:val="001A7E9A"/>
    <w:rsid w:val="001B1632"/>
    <w:rsid w:val="001B1DE5"/>
    <w:rsid w:val="001B219A"/>
    <w:rsid w:val="001B2E9F"/>
    <w:rsid w:val="001B3CA8"/>
    <w:rsid w:val="001B4E55"/>
    <w:rsid w:val="001B5E59"/>
    <w:rsid w:val="001C0F31"/>
    <w:rsid w:val="001C27A3"/>
    <w:rsid w:val="001C282C"/>
    <w:rsid w:val="001C3D2F"/>
    <w:rsid w:val="001C4B0A"/>
    <w:rsid w:val="001C5295"/>
    <w:rsid w:val="001C6221"/>
    <w:rsid w:val="001C68F7"/>
    <w:rsid w:val="001C6F5B"/>
    <w:rsid w:val="001C713F"/>
    <w:rsid w:val="001D068F"/>
    <w:rsid w:val="001D174F"/>
    <w:rsid w:val="001D3C67"/>
    <w:rsid w:val="001D3F84"/>
    <w:rsid w:val="001D442B"/>
    <w:rsid w:val="001D457E"/>
    <w:rsid w:val="001D54BF"/>
    <w:rsid w:val="001E09FA"/>
    <w:rsid w:val="001E1874"/>
    <w:rsid w:val="001E2EFE"/>
    <w:rsid w:val="001E7B7F"/>
    <w:rsid w:val="001F5B9C"/>
    <w:rsid w:val="001F6652"/>
    <w:rsid w:val="001F719F"/>
    <w:rsid w:val="001F74B2"/>
    <w:rsid w:val="00202B68"/>
    <w:rsid w:val="00203540"/>
    <w:rsid w:val="00203951"/>
    <w:rsid w:val="00207D7A"/>
    <w:rsid w:val="002102A7"/>
    <w:rsid w:val="00211273"/>
    <w:rsid w:val="00221D07"/>
    <w:rsid w:val="00222C7F"/>
    <w:rsid w:val="00224731"/>
    <w:rsid w:val="002277EE"/>
    <w:rsid w:val="00227E4A"/>
    <w:rsid w:val="00230777"/>
    <w:rsid w:val="00230A70"/>
    <w:rsid w:val="00230C0B"/>
    <w:rsid w:val="00234745"/>
    <w:rsid w:val="00235AB6"/>
    <w:rsid w:val="0024137D"/>
    <w:rsid w:val="002432EE"/>
    <w:rsid w:val="0024582E"/>
    <w:rsid w:val="00246EB1"/>
    <w:rsid w:val="00247A66"/>
    <w:rsid w:val="00253FE9"/>
    <w:rsid w:val="002547EF"/>
    <w:rsid w:val="00255981"/>
    <w:rsid w:val="00256D65"/>
    <w:rsid w:val="00257011"/>
    <w:rsid w:val="0027063A"/>
    <w:rsid w:val="00271F00"/>
    <w:rsid w:val="00273A80"/>
    <w:rsid w:val="0027513D"/>
    <w:rsid w:val="00276026"/>
    <w:rsid w:val="00281833"/>
    <w:rsid w:val="002823DB"/>
    <w:rsid w:val="0028386A"/>
    <w:rsid w:val="00284132"/>
    <w:rsid w:val="002851C8"/>
    <w:rsid w:val="0029204E"/>
    <w:rsid w:val="00294BAD"/>
    <w:rsid w:val="0029631C"/>
    <w:rsid w:val="002A0194"/>
    <w:rsid w:val="002A0FD1"/>
    <w:rsid w:val="002A14D6"/>
    <w:rsid w:val="002A3E62"/>
    <w:rsid w:val="002A5C38"/>
    <w:rsid w:val="002A5F8B"/>
    <w:rsid w:val="002A6663"/>
    <w:rsid w:val="002A7F6C"/>
    <w:rsid w:val="002B0D8E"/>
    <w:rsid w:val="002B2F03"/>
    <w:rsid w:val="002B521B"/>
    <w:rsid w:val="002C346C"/>
    <w:rsid w:val="002C4A91"/>
    <w:rsid w:val="002C4E91"/>
    <w:rsid w:val="002C6A66"/>
    <w:rsid w:val="002C6C5C"/>
    <w:rsid w:val="002C7570"/>
    <w:rsid w:val="002D1CA4"/>
    <w:rsid w:val="002D28E3"/>
    <w:rsid w:val="002D2E73"/>
    <w:rsid w:val="002D6809"/>
    <w:rsid w:val="002D6A27"/>
    <w:rsid w:val="002D7D86"/>
    <w:rsid w:val="002E086A"/>
    <w:rsid w:val="002E2DE5"/>
    <w:rsid w:val="002E3B0E"/>
    <w:rsid w:val="002E794E"/>
    <w:rsid w:val="002F3DA6"/>
    <w:rsid w:val="002F4FE9"/>
    <w:rsid w:val="002F56C6"/>
    <w:rsid w:val="002F62E3"/>
    <w:rsid w:val="002F6488"/>
    <w:rsid w:val="00300075"/>
    <w:rsid w:val="00300885"/>
    <w:rsid w:val="00300CA0"/>
    <w:rsid w:val="0030279C"/>
    <w:rsid w:val="00302F64"/>
    <w:rsid w:val="003030EF"/>
    <w:rsid w:val="003052D2"/>
    <w:rsid w:val="003061A0"/>
    <w:rsid w:val="00310E84"/>
    <w:rsid w:val="00312F50"/>
    <w:rsid w:val="00313C16"/>
    <w:rsid w:val="00315A71"/>
    <w:rsid w:val="00315AC3"/>
    <w:rsid w:val="003213F9"/>
    <w:rsid w:val="00321AD7"/>
    <w:rsid w:val="00323DBF"/>
    <w:rsid w:val="00323ECA"/>
    <w:rsid w:val="00325B5C"/>
    <w:rsid w:val="00327B76"/>
    <w:rsid w:val="003309A8"/>
    <w:rsid w:val="003320F3"/>
    <w:rsid w:val="00332B12"/>
    <w:rsid w:val="0033470E"/>
    <w:rsid w:val="00335980"/>
    <w:rsid w:val="00336711"/>
    <w:rsid w:val="003372EA"/>
    <w:rsid w:val="0034170D"/>
    <w:rsid w:val="003433C8"/>
    <w:rsid w:val="00343C57"/>
    <w:rsid w:val="00344476"/>
    <w:rsid w:val="003454BA"/>
    <w:rsid w:val="00347935"/>
    <w:rsid w:val="00350DBD"/>
    <w:rsid w:val="00351927"/>
    <w:rsid w:val="00351B07"/>
    <w:rsid w:val="00352712"/>
    <w:rsid w:val="00355CAA"/>
    <w:rsid w:val="00356626"/>
    <w:rsid w:val="0036268A"/>
    <w:rsid w:val="00364841"/>
    <w:rsid w:val="00367423"/>
    <w:rsid w:val="00370445"/>
    <w:rsid w:val="00370D64"/>
    <w:rsid w:val="00371B29"/>
    <w:rsid w:val="00372182"/>
    <w:rsid w:val="00372AA6"/>
    <w:rsid w:val="003739E3"/>
    <w:rsid w:val="0037520F"/>
    <w:rsid w:val="0037624A"/>
    <w:rsid w:val="00382C88"/>
    <w:rsid w:val="0038704F"/>
    <w:rsid w:val="0038736C"/>
    <w:rsid w:val="00390BAD"/>
    <w:rsid w:val="00391769"/>
    <w:rsid w:val="00394447"/>
    <w:rsid w:val="003953E1"/>
    <w:rsid w:val="003956B3"/>
    <w:rsid w:val="00395878"/>
    <w:rsid w:val="00395E5D"/>
    <w:rsid w:val="003A4CAC"/>
    <w:rsid w:val="003A522E"/>
    <w:rsid w:val="003A68BE"/>
    <w:rsid w:val="003A7725"/>
    <w:rsid w:val="003A79E5"/>
    <w:rsid w:val="003B28E8"/>
    <w:rsid w:val="003B3C9D"/>
    <w:rsid w:val="003B7377"/>
    <w:rsid w:val="003B78E0"/>
    <w:rsid w:val="003C34E6"/>
    <w:rsid w:val="003C3B0E"/>
    <w:rsid w:val="003C4969"/>
    <w:rsid w:val="003D1DF6"/>
    <w:rsid w:val="003D5C69"/>
    <w:rsid w:val="003D626F"/>
    <w:rsid w:val="003D6A05"/>
    <w:rsid w:val="003E1878"/>
    <w:rsid w:val="003E41D5"/>
    <w:rsid w:val="003E46BA"/>
    <w:rsid w:val="003E7D22"/>
    <w:rsid w:val="003E7F7C"/>
    <w:rsid w:val="003F74C1"/>
    <w:rsid w:val="00405B1A"/>
    <w:rsid w:val="00407241"/>
    <w:rsid w:val="0040761E"/>
    <w:rsid w:val="00407DF4"/>
    <w:rsid w:val="00410C76"/>
    <w:rsid w:val="00411907"/>
    <w:rsid w:val="00413CA8"/>
    <w:rsid w:val="004148B1"/>
    <w:rsid w:val="00414D8E"/>
    <w:rsid w:val="00417EE3"/>
    <w:rsid w:val="004207EB"/>
    <w:rsid w:val="0042170A"/>
    <w:rsid w:val="004308BB"/>
    <w:rsid w:val="0043131F"/>
    <w:rsid w:val="00431594"/>
    <w:rsid w:val="00431A27"/>
    <w:rsid w:val="004337A8"/>
    <w:rsid w:val="00433D61"/>
    <w:rsid w:val="00435098"/>
    <w:rsid w:val="00435FA5"/>
    <w:rsid w:val="00436B8D"/>
    <w:rsid w:val="00437276"/>
    <w:rsid w:val="00444F44"/>
    <w:rsid w:val="004452B7"/>
    <w:rsid w:val="00447E67"/>
    <w:rsid w:val="0045050D"/>
    <w:rsid w:val="00451A24"/>
    <w:rsid w:val="004549C8"/>
    <w:rsid w:val="0045556F"/>
    <w:rsid w:val="00456B54"/>
    <w:rsid w:val="00456BAA"/>
    <w:rsid w:val="00461132"/>
    <w:rsid w:val="00463846"/>
    <w:rsid w:val="00464643"/>
    <w:rsid w:val="004646F8"/>
    <w:rsid w:val="00472BA3"/>
    <w:rsid w:val="0048009F"/>
    <w:rsid w:val="004820F8"/>
    <w:rsid w:val="00485E5C"/>
    <w:rsid w:val="00486793"/>
    <w:rsid w:val="0048740E"/>
    <w:rsid w:val="0048758C"/>
    <w:rsid w:val="004875AA"/>
    <w:rsid w:val="0048798D"/>
    <w:rsid w:val="00487B57"/>
    <w:rsid w:val="004900B6"/>
    <w:rsid w:val="00490B5E"/>
    <w:rsid w:val="004924AF"/>
    <w:rsid w:val="00494010"/>
    <w:rsid w:val="00494C06"/>
    <w:rsid w:val="00496276"/>
    <w:rsid w:val="0049729B"/>
    <w:rsid w:val="00497B7A"/>
    <w:rsid w:val="004A13AD"/>
    <w:rsid w:val="004A2037"/>
    <w:rsid w:val="004A3685"/>
    <w:rsid w:val="004A6B4E"/>
    <w:rsid w:val="004A7E76"/>
    <w:rsid w:val="004B6CBA"/>
    <w:rsid w:val="004C01DB"/>
    <w:rsid w:val="004C2CE7"/>
    <w:rsid w:val="004C2ECC"/>
    <w:rsid w:val="004C6E51"/>
    <w:rsid w:val="004D1CBE"/>
    <w:rsid w:val="004D26E0"/>
    <w:rsid w:val="004D30A6"/>
    <w:rsid w:val="004D5841"/>
    <w:rsid w:val="004D5E53"/>
    <w:rsid w:val="004D6930"/>
    <w:rsid w:val="004D6B50"/>
    <w:rsid w:val="004D6BBF"/>
    <w:rsid w:val="004D6FA3"/>
    <w:rsid w:val="004D7A88"/>
    <w:rsid w:val="004E38E6"/>
    <w:rsid w:val="004E5937"/>
    <w:rsid w:val="004E7796"/>
    <w:rsid w:val="004F111E"/>
    <w:rsid w:val="004F1CC4"/>
    <w:rsid w:val="004F276E"/>
    <w:rsid w:val="004F3F70"/>
    <w:rsid w:val="004F4F98"/>
    <w:rsid w:val="004F69F6"/>
    <w:rsid w:val="004F6DFE"/>
    <w:rsid w:val="004F79AC"/>
    <w:rsid w:val="005017CF"/>
    <w:rsid w:val="005032B0"/>
    <w:rsid w:val="00505754"/>
    <w:rsid w:val="00505CEB"/>
    <w:rsid w:val="00512290"/>
    <w:rsid w:val="005207D8"/>
    <w:rsid w:val="00521F70"/>
    <w:rsid w:val="00523C8D"/>
    <w:rsid w:val="005241DC"/>
    <w:rsid w:val="00524463"/>
    <w:rsid w:val="005256F2"/>
    <w:rsid w:val="00526281"/>
    <w:rsid w:val="0052649E"/>
    <w:rsid w:val="00526B53"/>
    <w:rsid w:val="0052783A"/>
    <w:rsid w:val="00527F85"/>
    <w:rsid w:val="005314EE"/>
    <w:rsid w:val="005315EC"/>
    <w:rsid w:val="00532ACA"/>
    <w:rsid w:val="0053464E"/>
    <w:rsid w:val="00534B19"/>
    <w:rsid w:val="005350DF"/>
    <w:rsid w:val="00535862"/>
    <w:rsid w:val="005358B0"/>
    <w:rsid w:val="00545245"/>
    <w:rsid w:val="0055057F"/>
    <w:rsid w:val="0055327C"/>
    <w:rsid w:val="005535A9"/>
    <w:rsid w:val="00553969"/>
    <w:rsid w:val="00553CFB"/>
    <w:rsid w:val="00556013"/>
    <w:rsid w:val="00560943"/>
    <w:rsid w:val="00562917"/>
    <w:rsid w:val="00562E59"/>
    <w:rsid w:val="005672E6"/>
    <w:rsid w:val="00570724"/>
    <w:rsid w:val="00577BA2"/>
    <w:rsid w:val="00577DDE"/>
    <w:rsid w:val="00580787"/>
    <w:rsid w:val="0058562D"/>
    <w:rsid w:val="00586228"/>
    <w:rsid w:val="005863A4"/>
    <w:rsid w:val="00590A43"/>
    <w:rsid w:val="00590F9C"/>
    <w:rsid w:val="0059227F"/>
    <w:rsid w:val="00593C48"/>
    <w:rsid w:val="00593DED"/>
    <w:rsid w:val="0059498B"/>
    <w:rsid w:val="005A0FA3"/>
    <w:rsid w:val="005A3A03"/>
    <w:rsid w:val="005A6CC2"/>
    <w:rsid w:val="005A71BD"/>
    <w:rsid w:val="005A7EC4"/>
    <w:rsid w:val="005B01E7"/>
    <w:rsid w:val="005B1E80"/>
    <w:rsid w:val="005B1EE5"/>
    <w:rsid w:val="005B2AA5"/>
    <w:rsid w:val="005B615C"/>
    <w:rsid w:val="005B6AF4"/>
    <w:rsid w:val="005B6E1B"/>
    <w:rsid w:val="005C03F7"/>
    <w:rsid w:val="005C04CB"/>
    <w:rsid w:val="005C05D1"/>
    <w:rsid w:val="005C0801"/>
    <w:rsid w:val="005C16EE"/>
    <w:rsid w:val="005C33C1"/>
    <w:rsid w:val="005C41E6"/>
    <w:rsid w:val="005C49C3"/>
    <w:rsid w:val="005C5082"/>
    <w:rsid w:val="005C71BA"/>
    <w:rsid w:val="005D16AD"/>
    <w:rsid w:val="005D1C73"/>
    <w:rsid w:val="005D30DA"/>
    <w:rsid w:val="005D4137"/>
    <w:rsid w:val="005D4528"/>
    <w:rsid w:val="005D72E1"/>
    <w:rsid w:val="005E1F6F"/>
    <w:rsid w:val="005E2F53"/>
    <w:rsid w:val="005E612C"/>
    <w:rsid w:val="005E6C50"/>
    <w:rsid w:val="005E6E16"/>
    <w:rsid w:val="005F400E"/>
    <w:rsid w:val="005F7342"/>
    <w:rsid w:val="006005E0"/>
    <w:rsid w:val="00603A08"/>
    <w:rsid w:val="006066BC"/>
    <w:rsid w:val="00606C88"/>
    <w:rsid w:val="00610A3C"/>
    <w:rsid w:val="00614244"/>
    <w:rsid w:val="00614C71"/>
    <w:rsid w:val="006156A8"/>
    <w:rsid w:val="00615FEF"/>
    <w:rsid w:val="00620263"/>
    <w:rsid w:val="006211CD"/>
    <w:rsid w:val="00621218"/>
    <w:rsid w:val="00627F48"/>
    <w:rsid w:val="00627FEC"/>
    <w:rsid w:val="00630D38"/>
    <w:rsid w:val="00633811"/>
    <w:rsid w:val="0063381E"/>
    <w:rsid w:val="00633ACA"/>
    <w:rsid w:val="006342E0"/>
    <w:rsid w:val="00636DF4"/>
    <w:rsid w:val="00640023"/>
    <w:rsid w:val="00640E1E"/>
    <w:rsid w:val="00642A47"/>
    <w:rsid w:val="00642D1E"/>
    <w:rsid w:val="006440C3"/>
    <w:rsid w:val="00646FDD"/>
    <w:rsid w:val="0065315D"/>
    <w:rsid w:val="00662A1D"/>
    <w:rsid w:val="00663FCF"/>
    <w:rsid w:val="006652A2"/>
    <w:rsid w:val="0067169B"/>
    <w:rsid w:val="00676D88"/>
    <w:rsid w:val="00677545"/>
    <w:rsid w:val="006809C6"/>
    <w:rsid w:val="0068153D"/>
    <w:rsid w:val="00681754"/>
    <w:rsid w:val="00681D53"/>
    <w:rsid w:val="00683E69"/>
    <w:rsid w:val="00685269"/>
    <w:rsid w:val="0068575E"/>
    <w:rsid w:val="006859F5"/>
    <w:rsid w:val="0068709C"/>
    <w:rsid w:val="0069171E"/>
    <w:rsid w:val="00691F85"/>
    <w:rsid w:val="006937FF"/>
    <w:rsid w:val="006945CC"/>
    <w:rsid w:val="006965BF"/>
    <w:rsid w:val="00696F39"/>
    <w:rsid w:val="006A48A7"/>
    <w:rsid w:val="006B4BA1"/>
    <w:rsid w:val="006B5DC7"/>
    <w:rsid w:val="006B7E65"/>
    <w:rsid w:val="006C28E2"/>
    <w:rsid w:val="006C5CF5"/>
    <w:rsid w:val="006D0AF3"/>
    <w:rsid w:val="006D186F"/>
    <w:rsid w:val="006E1DB8"/>
    <w:rsid w:val="006E2771"/>
    <w:rsid w:val="006E2B69"/>
    <w:rsid w:val="006E314F"/>
    <w:rsid w:val="006E527D"/>
    <w:rsid w:val="006E65CC"/>
    <w:rsid w:val="006E6E4B"/>
    <w:rsid w:val="006F07FA"/>
    <w:rsid w:val="006F17A0"/>
    <w:rsid w:val="006F203E"/>
    <w:rsid w:val="006F49A4"/>
    <w:rsid w:val="006F4A82"/>
    <w:rsid w:val="006F5A32"/>
    <w:rsid w:val="006F71F9"/>
    <w:rsid w:val="00700239"/>
    <w:rsid w:val="0070373B"/>
    <w:rsid w:val="00704C61"/>
    <w:rsid w:val="00707532"/>
    <w:rsid w:val="00707A70"/>
    <w:rsid w:val="00707E72"/>
    <w:rsid w:val="007113EB"/>
    <w:rsid w:val="00720CAA"/>
    <w:rsid w:val="0072150F"/>
    <w:rsid w:val="00721D33"/>
    <w:rsid w:val="00722982"/>
    <w:rsid w:val="007244D4"/>
    <w:rsid w:val="00724FA4"/>
    <w:rsid w:val="00725197"/>
    <w:rsid w:val="00726667"/>
    <w:rsid w:val="00726C2F"/>
    <w:rsid w:val="00727310"/>
    <w:rsid w:val="00730800"/>
    <w:rsid w:val="00732D2B"/>
    <w:rsid w:val="00732FE8"/>
    <w:rsid w:val="00733A0E"/>
    <w:rsid w:val="007368AB"/>
    <w:rsid w:val="00737902"/>
    <w:rsid w:val="00741EFE"/>
    <w:rsid w:val="00743694"/>
    <w:rsid w:val="00744DD6"/>
    <w:rsid w:val="0074579A"/>
    <w:rsid w:val="00745A7B"/>
    <w:rsid w:val="0075111E"/>
    <w:rsid w:val="00756FB9"/>
    <w:rsid w:val="007602AA"/>
    <w:rsid w:val="00760317"/>
    <w:rsid w:val="00764D33"/>
    <w:rsid w:val="007652EF"/>
    <w:rsid w:val="0076686F"/>
    <w:rsid w:val="00770E78"/>
    <w:rsid w:val="00770E82"/>
    <w:rsid w:val="00771633"/>
    <w:rsid w:val="00771D7F"/>
    <w:rsid w:val="00772BDC"/>
    <w:rsid w:val="00773033"/>
    <w:rsid w:val="00774D8C"/>
    <w:rsid w:val="00776263"/>
    <w:rsid w:val="00780792"/>
    <w:rsid w:val="00780D3D"/>
    <w:rsid w:val="0078372A"/>
    <w:rsid w:val="00783828"/>
    <w:rsid w:val="00785E5A"/>
    <w:rsid w:val="007903A6"/>
    <w:rsid w:val="00790E85"/>
    <w:rsid w:val="00791EF9"/>
    <w:rsid w:val="00792925"/>
    <w:rsid w:val="007966EA"/>
    <w:rsid w:val="00796D22"/>
    <w:rsid w:val="00796D8B"/>
    <w:rsid w:val="007A44B4"/>
    <w:rsid w:val="007A6086"/>
    <w:rsid w:val="007A6406"/>
    <w:rsid w:val="007A7D3D"/>
    <w:rsid w:val="007B225D"/>
    <w:rsid w:val="007B2EF4"/>
    <w:rsid w:val="007C07D3"/>
    <w:rsid w:val="007C174F"/>
    <w:rsid w:val="007C1C64"/>
    <w:rsid w:val="007C74CD"/>
    <w:rsid w:val="007D17D7"/>
    <w:rsid w:val="007D1F00"/>
    <w:rsid w:val="007D40A1"/>
    <w:rsid w:val="007D54C2"/>
    <w:rsid w:val="007D6CE3"/>
    <w:rsid w:val="007E00C2"/>
    <w:rsid w:val="007E0965"/>
    <w:rsid w:val="007E1899"/>
    <w:rsid w:val="007E29CB"/>
    <w:rsid w:val="007E2E7C"/>
    <w:rsid w:val="007E48BC"/>
    <w:rsid w:val="007E4CE4"/>
    <w:rsid w:val="007E6F30"/>
    <w:rsid w:val="007E79F7"/>
    <w:rsid w:val="007F1EE0"/>
    <w:rsid w:val="007F2255"/>
    <w:rsid w:val="007F3630"/>
    <w:rsid w:val="008025C0"/>
    <w:rsid w:val="0080262E"/>
    <w:rsid w:val="008033CA"/>
    <w:rsid w:val="00804F3A"/>
    <w:rsid w:val="00804FB0"/>
    <w:rsid w:val="008051A4"/>
    <w:rsid w:val="0080547B"/>
    <w:rsid w:val="00805865"/>
    <w:rsid w:val="00806901"/>
    <w:rsid w:val="00807559"/>
    <w:rsid w:val="00815046"/>
    <w:rsid w:val="00820535"/>
    <w:rsid w:val="008244A4"/>
    <w:rsid w:val="00825123"/>
    <w:rsid w:val="008259D7"/>
    <w:rsid w:val="008373E9"/>
    <w:rsid w:val="008450BC"/>
    <w:rsid w:val="00850BF9"/>
    <w:rsid w:val="0085189A"/>
    <w:rsid w:val="00851A60"/>
    <w:rsid w:val="0085334B"/>
    <w:rsid w:val="0086298C"/>
    <w:rsid w:val="00862B32"/>
    <w:rsid w:val="0086344C"/>
    <w:rsid w:val="00867B23"/>
    <w:rsid w:val="00870003"/>
    <w:rsid w:val="00870214"/>
    <w:rsid w:val="008704E4"/>
    <w:rsid w:val="0087338F"/>
    <w:rsid w:val="008763A9"/>
    <w:rsid w:val="00876515"/>
    <w:rsid w:val="0088199D"/>
    <w:rsid w:val="008828D9"/>
    <w:rsid w:val="00885C51"/>
    <w:rsid w:val="00885EB0"/>
    <w:rsid w:val="00890BE7"/>
    <w:rsid w:val="0089264A"/>
    <w:rsid w:val="0089542C"/>
    <w:rsid w:val="00896B85"/>
    <w:rsid w:val="00897554"/>
    <w:rsid w:val="0089777A"/>
    <w:rsid w:val="008A081C"/>
    <w:rsid w:val="008A2013"/>
    <w:rsid w:val="008A22BE"/>
    <w:rsid w:val="008A3221"/>
    <w:rsid w:val="008A35FB"/>
    <w:rsid w:val="008B0075"/>
    <w:rsid w:val="008B2FCC"/>
    <w:rsid w:val="008B5567"/>
    <w:rsid w:val="008B56E8"/>
    <w:rsid w:val="008B58E5"/>
    <w:rsid w:val="008B6837"/>
    <w:rsid w:val="008B6C95"/>
    <w:rsid w:val="008C0E7A"/>
    <w:rsid w:val="008C1A91"/>
    <w:rsid w:val="008C1B36"/>
    <w:rsid w:val="008C2373"/>
    <w:rsid w:val="008C592F"/>
    <w:rsid w:val="008D06C6"/>
    <w:rsid w:val="008D0B75"/>
    <w:rsid w:val="008D3869"/>
    <w:rsid w:val="008E0458"/>
    <w:rsid w:val="008E236F"/>
    <w:rsid w:val="008E28DB"/>
    <w:rsid w:val="008E4044"/>
    <w:rsid w:val="008E4242"/>
    <w:rsid w:val="008E6250"/>
    <w:rsid w:val="008F004A"/>
    <w:rsid w:val="008F27D0"/>
    <w:rsid w:val="008F2A9D"/>
    <w:rsid w:val="008F3FF4"/>
    <w:rsid w:val="008F4632"/>
    <w:rsid w:val="00901EF6"/>
    <w:rsid w:val="00901F6E"/>
    <w:rsid w:val="00902AF6"/>
    <w:rsid w:val="00905D33"/>
    <w:rsid w:val="00906B53"/>
    <w:rsid w:val="0090794F"/>
    <w:rsid w:val="00913C83"/>
    <w:rsid w:val="00914030"/>
    <w:rsid w:val="00914B3D"/>
    <w:rsid w:val="00915F58"/>
    <w:rsid w:val="009163F2"/>
    <w:rsid w:val="00916C00"/>
    <w:rsid w:val="00917650"/>
    <w:rsid w:val="00920249"/>
    <w:rsid w:val="00920C41"/>
    <w:rsid w:val="00922C16"/>
    <w:rsid w:val="00923341"/>
    <w:rsid w:val="00924C80"/>
    <w:rsid w:val="0092599D"/>
    <w:rsid w:val="00926E75"/>
    <w:rsid w:val="00927784"/>
    <w:rsid w:val="00932F14"/>
    <w:rsid w:val="009332F3"/>
    <w:rsid w:val="00935D5C"/>
    <w:rsid w:val="0094247F"/>
    <w:rsid w:val="00942D60"/>
    <w:rsid w:val="00944BA4"/>
    <w:rsid w:val="00945945"/>
    <w:rsid w:val="00954C84"/>
    <w:rsid w:val="00957D72"/>
    <w:rsid w:val="009610A7"/>
    <w:rsid w:val="0096523B"/>
    <w:rsid w:val="00965633"/>
    <w:rsid w:val="009659FD"/>
    <w:rsid w:val="00966EE3"/>
    <w:rsid w:val="00970050"/>
    <w:rsid w:val="00972D06"/>
    <w:rsid w:val="00972FE4"/>
    <w:rsid w:val="00974B82"/>
    <w:rsid w:val="00976A10"/>
    <w:rsid w:val="009777C1"/>
    <w:rsid w:val="009809E6"/>
    <w:rsid w:val="00980CDE"/>
    <w:rsid w:val="009825EB"/>
    <w:rsid w:val="0098451B"/>
    <w:rsid w:val="00994A52"/>
    <w:rsid w:val="00995F07"/>
    <w:rsid w:val="00996027"/>
    <w:rsid w:val="00997A9E"/>
    <w:rsid w:val="009A1649"/>
    <w:rsid w:val="009A391C"/>
    <w:rsid w:val="009A50F2"/>
    <w:rsid w:val="009A627F"/>
    <w:rsid w:val="009A6A02"/>
    <w:rsid w:val="009B088E"/>
    <w:rsid w:val="009B0F86"/>
    <w:rsid w:val="009B187A"/>
    <w:rsid w:val="009B21D6"/>
    <w:rsid w:val="009B2410"/>
    <w:rsid w:val="009B3DBC"/>
    <w:rsid w:val="009B51D0"/>
    <w:rsid w:val="009C4322"/>
    <w:rsid w:val="009C730D"/>
    <w:rsid w:val="009D02AC"/>
    <w:rsid w:val="009D1133"/>
    <w:rsid w:val="009D5A5A"/>
    <w:rsid w:val="009D790B"/>
    <w:rsid w:val="009E0A61"/>
    <w:rsid w:val="009E173A"/>
    <w:rsid w:val="009E3010"/>
    <w:rsid w:val="009F007E"/>
    <w:rsid w:val="009F1BCF"/>
    <w:rsid w:val="009F1CB4"/>
    <w:rsid w:val="009F3D7E"/>
    <w:rsid w:val="009F7065"/>
    <w:rsid w:val="00A054FA"/>
    <w:rsid w:val="00A057F2"/>
    <w:rsid w:val="00A0676A"/>
    <w:rsid w:val="00A110A0"/>
    <w:rsid w:val="00A12B44"/>
    <w:rsid w:val="00A13B3F"/>
    <w:rsid w:val="00A13D0E"/>
    <w:rsid w:val="00A15506"/>
    <w:rsid w:val="00A20B6B"/>
    <w:rsid w:val="00A22C0B"/>
    <w:rsid w:val="00A24612"/>
    <w:rsid w:val="00A32A82"/>
    <w:rsid w:val="00A34238"/>
    <w:rsid w:val="00A40193"/>
    <w:rsid w:val="00A4175D"/>
    <w:rsid w:val="00A42928"/>
    <w:rsid w:val="00A5187E"/>
    <w:rsid w:val="00A51D8F"/>
    <w:rsid w:val="00A52EFC"/>
    <w:rsid w:val="00A54934"/>
    <w:rsid w:val="00A56DC7"/>
    <w:rsid w:val="00A56E34"/>
    <w:rsid w:val="00A619B0"/>
    <w:rsid w:val="00A63115"/>
    <w:rsid w:val="00A74FD1"/>
    <w:rsid w:val="00A7559B"/>
    <w:rsid w:val="00A77CEC"/>
    <w:rsid w:val="00A84A58"/>
    <w:rsid w:val="00A84C88"/>
    <w:rsid w:val="00A84DB0"/>
    <w:rsid w:val="00A85236"/>
    <w:rsid w:val="00A91DF1"/>
    <w:rsid w:val="00A91DFE"/>
    <w:rsid w:val="00A928C0"/>
    <w:rsid w:val="00A94DF4"/>
    <w:rsid w:val="00A9774B"/>
    <w:rsid w:val="00AA26C4"/>
    <w:rsid w:val="00AA447F"/>
    <w:rsid w:val="00AA470A"/>
    <w:rsid w:val="00AA50B8"/>
    <w:rsid w:val="00AA6C34"/>
    <w:rsid w:val="00AA7F22"/>
    <w:rsid w:val="00AB0275"/>
    <w:rsid w:val="00AB6CEF"/>
    <w:rsid w:val="00AB7FB7"/>
    <w:rsid w:val="00AC15A0"/>
    <w:rsid w:val="00AC1B18"/>
    <w:rsid w:val="00AC3807"/>
    <w:rsid w:val="00AC74CB"/>
    <w:rsid w:val="00AD22F9"/>
    <w:rsid w:val="00AD45D9"/>
    <w:rsid w:val="00AD547B"/>
    <w:rsid w:val="00AD6719"/>
    <w:rsid w:val="00AD6A88"/>
    <w:rsid w:val="00AD7A3D"/>
    <w:rsid w:val="00AE27F5"/>
    <w:rsid w:val="00AE4E6E"/>
    <w:rsid w:val="00AE766D"/>
    <w:rsid w:val="00AF06FC"/>
    <w:rsid w:val="00AF3391"/>
    <w:rsid w:val="00AF387F"/>
    <w:rsid w:val="00AF4824"/>
    <w:rsid w:val="00AF5AC0"/>
    <w:rsid w:val="00AF602C"/>
    <w:rsid w:val="00AF73E9"/>
    <w:rsid w:val="00B008E3"/>
    <w:rsid w:val="00B00E7F"/>
    <w:rsid w:val="00B02068"/>
    <w:rsid w:val="00B03740"/>
    <w:rsid w:val="00B136D1"/>
    <w:rsid w:val="00B14F35"/>
    <w:rsid w:val="00B15804"/>
    <w:rsid w:val="00B173DA"/>
    <w:rsid w:val="00B20922"/>
    <w:rsid w:val="00B21060"/>
    <w:rsid w:val="00B21AF8"/>
    <w:rsid w:val="00B21DCC"/>
    <w:rsid w:val="00B2343E"/>
    <w:rsid w:val="00B25F37"/>
    <w:rsid w:val="00B26605"/>
    <w:rsid w:val="00B306F4"/>
    <w:rsid w:val="00B3129B"/>
    <w:rsid w:val="00B31EFC"/>
    <w:rsid w:val="00B33BCB"/>
    <w:rsid w:val="00B354E0"/>
    <w:rsid w:val="00B35E34"/>
    <w:rsid w:val="00B35F96"/>
    <w:rsid w:val="00B37387"/>
    <w:rsid w:val="00B402AA"/>
    <w:rsid w:val="00B44422"/>
    <w:rsid w:val="00B46EA0"/>
    <w:rsid w:val="00B4736E"/>
    <w:rsid w:val="00B51818"/>
    <w:rsid w:val="00B51E03"/>
    <w:rsid w:val="00B521DA"/>
    <w:rsid w:val="00B53E2E"/>
    <w:rsid w:val="00B5764B"/>
    <w:rsid w:val="00B60B70"/>
    <w:rsid w:val="00B638E6"/>
    <w:rsid w:val="00B65710"/>
    <w:rsid w:val="00B67DD6"/>
    <w:rsid w:val="00B71F51"/>
    <w:rsid w:val="00B728C6"/>
    <w:rsid w:val="00B731D3"/>
    <w:rsid w:val="00B745FF"/>
    <w:rsid w:val="00B74C80"/>
    <w:rsid w:val="00B8031C"/>
    <w:rsid w:val="00B819C7"/>
    <w:rsid w:val="00B821B0"/>
    <w:rsid w:val="00B83446"/>
    <w:rsid w:val="00B839A3"/>
    <w:rsid w:val="00B853D2"/>
    <w:rsid w:val="00B856FC"/>
    <w:rsid w:val="00B86ADD"/>
    <w:rsid w:val="00B902BD"/>
    <w:rsid w:val="00B9260F"/>
    <w:rsid w:val="00B9352B"/>
    <w:rsid w:val="00B9694C"/>
    <w:rsid w:val="00B97746"/>
    <w:rsid w:val="00BA155E"/>
    <w:rsid w:val="00BA24E2"/>
    <w:rsid w:val="00BA46A7"/>
    <w:rsid w:val="00BA55FE"/>
    <w:rsid w:val="00BB0B56"/>
    <w:rsid w:val="00BB0E72"/>
    <w:rsid w:val="00BB29C9"/>
    <w:rsid w:val="00BB5930"/>
    <w:rsid w:val="00BC33FE"/>
    <w:rsid w:val="00BC3961"/>
    <w:rsid w:val="00BC551C"/>
    <w:rsid w:val="00BD19D1"/>
    <w:rsid w:val="00BD2A39"/>
    <w:rsid w:val="00BD2E80"/>
    <w:rsid w:val="00BD406A"/>
    <w:rsid w:val="00BD76DE"/>
    <w:rsid w:val="00BE05BE"/>
    <w:rsid w:val="00BE0D5A"/>
    <w:rsid w:val="00BE11B8"/>
    <w:rsid w:val="00BE1452"/>
    <w:rsid w:val="00BE3818"/>
    <w:rsid w:val="00BE5540"/>
    <w:rsid w:val="00BE5B28"/>
    <w:rsid w:val="00BE6267"/>
    <w:rsid w:val="00BE62AC"/>
    <w:rsid w:val="00BF45FA"/>
    <w:rsid w:val="00BF4E33"/>
    <w:rsid w:val="00BF7012"/>
    <w:rsid w:val="00BF7FF0"/>
    <w:rsid w:val="00C0032A"/>
    <w:rsid w:val="00C00F76"/>
    <w:rsid w:val="00C035EC"/>
    <w:rsid w:val="00C0499E"/>
    <w:rsid w:val="00C06615"/>
    <w:rsid w:val="00C12502"/>
    <w:rsid w:val="00C1266C"/>
    <w:rsid w:val="00C136C1"/>
    <w:rsid w:val="00C14A61"/>
    <w:rsid w:val="00C14FD2"/>
    <w:rsid w:val="00C1527E"/>
    <w:rsid w:val="00C154F0"/>
    <w:rsid w:val="00C16113"/>
    <w:rsid w:val="00C22023"/>
    <w:rsid w:val="00C23494"/>
    <w:rsid w:val="00C23E8E"/>
    <w:rsid w:val="00C24EDD"/>
    <w:rsid w:val="00C26D7E"/>
    <w:rsid w:val="00C32047"/>
    <w:rsid w:val="00C36578"/>
    <w:rsid w:val="00C40AA5"/>
    <w:rsid w:val="00C42244"/>
    <w:rsid w:val="00C435A5"/>
    <w:rsid w:val="00C46F70"/>
    <w:rsid w:val="00C476D0"/>
    <w:rsid w:val="00C524C8"/>
    <w:rsid w:val="00C56F71"/>
    <w:rsid w:val="00C57C84"/>
    <w:rsid w:val="00C57F32"/>
    <w:rsid w:val="00C63580"/>
    <w:rsid w:val="00C63E65"/>
    <w:rsid w:val="00C65400"/>
    <w:rsid w:val="00C667F3"/>
    <w:rsid w:val="00C66D2A"/>
    <w:rsid w:val="00C67049"/>
    <w:rsid w:val="00C70460"/>
    <w:rsid w:val="00C7233B"/>
    <w:rsid w:val="00C72751"/>
    <w:rsid w:val="00C73952"/>
    <w:rsid w:val="00C8284F"/>
    <w:rsid w:val="00C836E3"/>
    <w:rsid w:val="00C841B2"/>
    <w:rsid w:val="00C864D0"/>
    <w:rsid w:val="00C86577"/>
    <w:rsid w:val="00C92763"/>
    <w:rsid w:val="00C92E07"/>
    <w:rsid w:val="00C94942"/>
    <w:rsid w:val="00C959DD"/>
    <w:rsid w:val="00C95A55"/>
    <w:rsid w:val="00C96868"/>
    <w:rsid w:val="00C96A50"/>
    <w:rsid w:val="00CA0416"/>
    <w:rsid w:val="00CA0CBB"/>
    <w:rsid w:val="00CA37A4"/>
    <w:rsid w:val="00CA3C65"/>
    <w:rsid w:val="00CA5BBC"/>
    <w:rsid w:val="00CA5F9E"/>
    <w:rsid w:val="00CA6C15"/>
    <w:rsid w:val="00CA7F35"/>
    <w:rsid w:val="00CB1375"/>
    <w:rsid w:val="00CB3C9F"/>
    <w:rsid w:val="00CB606F"/>
    <w:rsid w:val="00CB7DAF"/>
    <w:rsid w:val="00CC36E7"/>
    <w:rsid w:val="00CC560B"/>
    <w:rsid w:val="00CC7515"/>
    <w:rsid w:val="00CC75E2"/>
    <w:rsid w:val="00CD1BAA"/>
    <w:rsid w:val="00CD46EB"/>
    <w:rsid w:val="00CD5981"/>
    <w:rsid w:val="00CD6FB6"/>
    <w:rsid w:val="00CD7EBF"/>
    <w:rsid w:val="00CE0184"/>
    <w:rsid w:val="00CE0194"/>
    <w:rsid w:val="00CE04CA"/>
    <w:rsid w:val="00CE0AEB"/>
    <w:rsid w:val="00CE1F13"/>
    <w:rsid w:val="00CE25C8"/>
    <w:rsid w:val="00CE5094"/>
    <w:rsid w:val="00CF026A"/>
    <w:rsid w:val="00CF193B"/>
    <w:rsid w:val="00CF2CC5"/>
    <w:rsid w:val="00CF3473"/>
    <w:rsid w:val="00CF3C70"/>
    <w:rsid w:val="00D01512"/>
    <w:rsid w:val="00D03398"/>
    <w:rsid w:val="00D04529"/>
    <w:rsid w:val="00D056F1"/>
    <w:rsid w:val="00D062E4"/>
    <w:rsid w:val="00D11171"/>
    <w:rsid w:val="00D14405"/>
    <w:rsid w:val="00D14852"/>
    <w:rsid w:val="00D1492F"/>
    <w:rsid w:val="00D1518F"/>
    <w:rsid w:val="00D158A1"/>
    <w:rsid w:val="00D1659B"/>
    <w:rsid w:val="00D2071E"/>
    <w:rsid w:val="00D209C9"/>
    <w:rsid w:val="00D20B78"/>
    <w:rsid w:val="00D22F3C"/>
    <w:rsid w:val="00D23915"/>
    <w:rsid w:val="00D23DB6"/>
    <w:rsid w:val="00D241E0"/>
    <w:rsid w:val="00D26814"/>
    <w:rsid w:val="00D3171B"/>
    <w:rsid w:val="00D33F56"/>
    <w:rsid w:val="00D346F1"/>
    <w:rsid w:val="00D34CB3"/>
    <w:rsid w:val="00D3669A"/>
    <w:rsid w:val="00D4166B"/>
    <w:rsid w:val="00D43369"/>
    <w:rsid w:val="00D43920"/>
    <w:rsid w:val="00D43FE6"/>
    <w:rsid w:val="00D51A95"/>
    <w:rsid w:val="00D52503"/>
    <w:rsid w:val="00D569CF"/>
    <w:rsid w:val="00D60568"/>
    <w:rsid w:val="00D60F38"/>
    <w:rsid w:val="00D614ED"/>
    <w:rsid w:val="00D61886"/>
    <w:rsid w:val="00D64E18"/>
    <w:rsid w:val="00D676CF"/>
    <w:rsid w:val="00D70C7A"/>
    <w:rsid w:val="00D73931"/>
    <w:rsid w:val="00D75BA5"/>
    <w:rsid w:val="00D77E1F"/>
    <w:rsid w:val="00D8156C"/>
    <w:rsid w:val="00D81D38"/>
    <w:rsid w:val="00D8470F"/>
    <w:rsid w:val="00D8471A"/>
    <w:rsid w:val="00D84FD7"/>
    <w:rsid w:val="00D90878"/>
    <w:rsid w:val="00D91E75"/>
    <w:rsid w:val="00D94AB9"/>
    <w:rsid w:val="00D95434"/>
    <w:rsid w:val="00D96610"/>
    <w:rsid w:val="00DA10A8"/>
    <w:rsid w:val="00DA4B59"/>
    <w:rsid w:val="00DA4CAB"/>
    <w:rsid w:val="00DA7D83"/>
    <w:rsid w:val="00DB1E08"/>
    <w:rsid w:val="00DB2973"/>
    <w:rsid w:val="00DB324A"/>
    <w:rsid w:val="00DB65A3"/>
    <w:rsid w:val="00DB7A08"/>
    <w:rsid w:val="00DC0E0E"/>
    <w:rsid w:val="00DC1B56"/>
    <w:rsid w:val="00DC2129"/>
    <w:rsid w:val="00DC3C72"/>
    <w:rsid w:val="00DC4BF9"/>
    <w:rsid w:val="00DC6570"/>
    <w:rsid w:val="00DC6BD9"/>
    <w:rsid w:val="00DC7382"/>
    <w:rsid w:val="00DD122F"/>
    <w:rsid w:val="00DD324C"/>
    <w:rsid w:val="00DD3422"/>
    <w:rsid w:val="00DD3C5E"/>
    <w:rsid w:val="00DD5BB6"/>
    <w:rsid w:val="00DE6966"/>
    <w:rsid w:val="00DE79D9"/>
    <w:rsid w:val="00DF1975"/>
    <w:rsid w:val="00DF25C3"/>
    <w:rsid w:val="00DF6DA7"/>
    <w:rsid w:val="00DF736D"/>
    <w:rsid w:val="00E0099E"/>
    <w:rsid w:val="00E04062"/>
    <w:rsid w:val="00E0411F"/>
    <w:rsid w:val="00E063C6"/>
    <w:rsid w:val="00E066FD"/>
    <w:rsid w:val="00E06DD0"/>
    <w:rsid w:val="00E16A66"/>
    <w:rsid w:val="00E2003B"/>
    <w:rsid w:val="00E203C2"/>
    <w:rsid w:val="00E216A2"/>
    <w:rsid w:val="00E24804"/>
    <w:rsid w:val="00E24A67"/>
    <w:rsid w:val="00E24DE8"/>
    <w:rsid w:val="00E277F6"/>
    <w:rsid w:val="00E279D8"/>
    <w:rsid w:val="00E319B1"/>
    <w:rsid w:val="00E32435"/>
    <w:rsid w:val="00E3731E"/>
    <w:rsid w:val="00E40ED4"/>
    <w:rsid w:val="00E41363"/>
    <w:rsid w:val="00E425D2"/>
    <w:rsid w:val="00E44E0D"/>
    <w:rsid w:val="00E45728"/>
    <w:rsid w:val="00E45EFD"/>
    <w:rsid w:val="00E51DFF"/>
    <w:rsid w:val="00E520C9"/>
    <w:rsid w:val="00E520FE"/>
    <w:rsid w:val="00E523EA"/>
    <w:rsid w:val="00E54215"/>
    <w:rsid w:val="00E5492F"/>
    <w:rsid w:val="00E571EE"/>
    <w:rsid w:val="00E60FEB"/>
    <w:rsid w:val="00E62DEF"/>
    <w:rsid w:val="00E6409D"/>
    <w:rsid w:val="00E66477"/>
    <w:rsid w:val="00E66876"/>
    <w:rsid w:val="00E70A86"/>
    <w:rsid w:val="00E72650"/>
    <w:rsid w:val="00E75054"/>
    <w:rsid w:val="00E751D6"/>
    <w:rsid w:val="00E759BB"/>
    <w:rsid w:val="00E75BDA"/>
    <w:rsid w:val="00E777EC"/>
    <w:rsid w:val="00E8077E"/>
    <w:rsid w:val="00E80FCD"/>
    <w:rsid w:val="00E81F6E"/>
    <w:rsid w:val="00E929BA"/>
    <w:rsid w:val="00EA08BA"/>
    <w:rsid w:val="00EA16DB"/>
    <w:rsid w:val="00EA171D"/>
    <w:rsid w:val="00EA2F00"/>
    <w:rsid w:val="00EA31C1"/>
    <w:rsid w:val="00EA39E0"/>
    <w:rsid w:val="00EA505F"/>
    <w:rsid w:val="00EA58F1"/>
    <w:rsid w:val="00EA6E89"/>
    <w:rsid w:val="00EA72C9"/>
    <w:rsid w:val="00EA7661"/>
    <w:rsid w:val="00EA77F1"/>
    <w:rsid w:val="00EA7F2F"/>
    <w:rsid w:val="00EB0E95"/>
    <w:rsid w:val="00EB2001"/>
    <w:rsid w:val="00EB4438"/>
    <w:rsid w:val="00EB4F90"/>
    <w:rsid w:val="00EB526C"/>
    <w:rsid w:val="00EB7CD5"/>
    <w:rsid w:val="00EC00DE"/>
    <w:rsid w:val="00EC30E1"/>
    <w:rsid w:val="00EC60FD"/>
    <w:rsid w:val="00EC6FF6"/>
    <w:rsid w:val="00ED172A"/>
    <w:rsid w:val="00EE001C"/>
    <w:rsid w:val="00EE0682"/>
    <w:rsid w:val="00EE0A23"/>
    <w:rsid w:val="00EE0E8A"/>
    <w:rsid w:val="00EE177B"/>
    <w:rsid w:val="00EE3DDE"/>
    <w:rsid w:val="00EE7517"/>
    <w:rsid w:val="00EF54CE"/>
    <w:rsid w:val="00EF5A8D"/>
    <w:rsid w:val="00F02010"/>
    <w:rsid w:val="00F06AAF"/>
    <w:rsid w:val="00F0750B"/>
    <w:rsid w:val="00F13140"/>
    <w:rsid w:val="00F14248"/>
    <w:rsid w:val="00F14BEC"/>
    <w:rsid w:val="00F16CF2"/>
    <w:rsid w:val="00F217A6"/>
    <w:rsid w:val="00F217EA"/>
    <w:rsid w:val="00F225C5"/>
    <w:rsid w:val="00F227AD"/>
    <w:rsid w:val="00F24AAC"/>
    <w:rsid w:val="00F2587A"/>
    <w:rsid w:val="00F278A5"/>
    <w:rsid w:val="00F31C7C"/>
    <w:rsid w:val="00F31EAD"/>
    <w:rsid w:val="00F32541"/>
    <w:rsid w:val="00F33BB8"/>
    <w:rsid w:val="00F367E7"/>
    <w:rsid w:val="00F36F71"/>
    <w:rsid w:val="00F3715D"/>
    <w:rsid w:val="00F37292"/>
    <w:rsid w:val="00F41DA5"/>
    <w:rsid w:val="00F41FD6"/>
    <w:rsid w:val="00F420C8"/>
    <w:rsid w:val="00F42842"/>
    <w:rsid w:val="00F42937"/>
    <w:rsid w:val="00F42A4C"/>
    <w:rsid w:val="00F444CA"/>
    <w:rsid w:val="00F526B6"/>
    <w:rsid w:val="00F53B04"/>
    <w:rsid w:val="00F5675B"/>
    <w:rsid w:val="00F604DE"/>
    <w:rsid w:val="00F61465"/>
    <w:rsid w:val="00F64653"/>
    <w:rsid w:val="00F67528"/>
    <w:rsid w:val="00F701CC"/>
    <w:rsid w:val="00F71B42"/>
    <w:rsid w:val="00F73D7B"/>
    <w:rsid w:val="00F73FF0"/>
    <w:rsid w:val="00F771AE"/>
    <w:rsid w:val="00F80462"/>
    <w:rsid w:val="00F83F0E"/>
    <w:rsid w:val="00F93B70"/>
    <w:rsid w:val="00FA294A"/>
    <w:rsid w:val="00FA3D4E"/>
    <w:rsid w:val="00FB1533"/>
    <w:rsid w:val="00FB4DFB"/>
    <w:rsid w:val="00FB67A3"/>
    <w:rsid w:val="00FB6D3D"/>
    <w:rsid w:val="00FB7512"/>
    <w:rsid w:val="00FB75A4"/>
    <w:rsid w:val="00FC10D9"/>
    <w:rsid w:val="00FC1BC2"/>
    <w:rsid w:val="00FC4A3F"/>
    <w:rsid w:val="00FC53F6"/>
    <w:rsid w:val="00FC7694"/>
    <w:rsid w:val="00FD0815"/>
    <w:rsid w:val="00FD2FBE"/>
    <w:rsid w:val="00FD3882"/>
    <w:rsid w:val="00FD7547"/>
    <w:rsid w:val="00FE1513"/>
    <w:rsid w:val="00FE557F"/>
    <w:rsid w:val="00FF094A"/>
    <w:rsid w:val="00FF16BA"/>
    <w:rsid w:val="00FF42E4"/>
    <w:rsid w:val="00FF5F5C"/>
    <w:rsid w:val="00FF76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B2305"/>
  <w15:docId w15:val="{963CC7F0-7072-4434-BE40-27C5BEEB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C524C8"/>
    <w:pPr>
      <w:tabs>
        <w:tab w:val="left" w:pos="440"/>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5D4137"/>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rsid w:val="005D4137"/>
    <w:pPr>
      <w:tabs>
        <w:tab w:val="left" w:pos="1134"/>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pPr>
    <w:rPr>
      <w:rFonts w:eastAsia="Calibri"/>
      <w:szCs w:val="22"/>
      <w:lang w:bidi="ar-SA"/>
    </w:rPr>
  </w:style>
  <w:style w:type="paragraph" w:customStyle="1" w:styleId="FSBullet3">
    <w:name w:val="FSBullet 3"/>
    <w:basedOn w:val="Normal"/>
    <w:qFormat/>
    <w:locked/>
    <w:rsid w:val="00944BA4"/>
    <w:pPr>
      <w:keepNext/>
      <w:widowControl/>
      <w:numPr>
        <w:numId w:val="4"/>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basedOn w:val="Normal"/>
    <w:link w:val="FootnoteTextChar"/>
    <w:rsid w:val="00820535"/>
    <w:rPr>
      <w:sz w:val="20"/>
      <w:szCs w:val="20"/>
    </w:rPr>
  </w:style>
  <w:style w:type="character" w:customStyle="1" w:styleId="FootnoteTextChar">
    <w:name w:val="Footnote Text Char"/>
    <w:basedOn w:val="DefaultParagraphFont"/>
    <w:link w:val="FootnoteText"/>
    <w:rsid w:val="00820535"/>
    <w:rPr>
      <w:rFonts w:ascii="Arial" w:hAnsi="Arial"/>
      <w:lang w:eastAsia="en-US" w:bidi="en-US"/>
    </w:rPr>
  </w:style>
  <w:style w:type="paragraph" w:customStyle="1" w:styleId="FooterPPHFF-1092022-12212PM">
    <w:name w:val="FooterPPHFF-1092022-12212 PM"/>
    <w:rsid w:val="00001F2F"/>
    <w:rPr>
      <w:rFonts w:ascii="Arial" w:eastAsiaTheme="minorHAnsi" w:hAnsi="Arial" w:cstheme="minorBidi"/>
      <w:sz w:val="22"/>
      <w:szCs w:val="22"/>
      <w:lang w:eastAsia="en-US"/>
    </w:rPr>
  </w:style>
  <w:style w:type="table" w:customStyle="1" w:styleId="TableGrid1">
    <w:name w:val="Table Grid1"/>
    <w:basedOn w:val="TableNormal"/>
    <w:next w:val="TableGrid"/>
    <w:rsid w:val="005D30DA"/>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3">
    <w:name w:val="Table Grid123"/>
    <w:basedOn w:val="TableNormal"/>
    <w:uiPriority w:val="59"/>
    <w:rsid w:val="005D30DA"/>
    <w:rPr>
      <w:rFonts w:ascii="Arial" w:hAnsi="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
    <w:name w:val="Table Grid1231"/>
    <w:basedOn w:val="TableNormal"/>
    <w:uiPriority w:val="59"/>
    <w:rsid w:val="005D30DA"/>
    <w:rPr>
      <w:rFonts w:ascii="Arial" w:hAnsi="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01512"/>
    <w:pPr>
      <w:ind w:left="720"/>
      <w:contextualSpacing/>
    </w:pPr>
  </w:style>
  <w:style w:type="character" w:styleId="UnresolvedMention">
    <w:name w:val="Unresolved Mention"/>
    <w:basedOn w:val="DefaultParagraphFont"/>
    <w:uiPriority w:val="99"/>
    <w:semiHidden/>
    <w:unhideWhenUsed/>
    <w:rsid w:val="00D01512"/>
    <w:rPr>
      <w:color w:val="605E5C"/>
      <w:shd w:val="clear" w:color="auto" w:fill="E1DFDD"/>
    </w:rPr>
  </w:style>
  <w:style w:type="paragraph" w:styleId="NormalWeb">
    <w:name w:val="Normal (Web)"/>
    <w:basedOn w:val="Normal"/>
    <w:uiPriority w:val="99"/>
    <w:unhideWhenUsed/>
    <w:rsid w:val="00F771AE"/>
    <w:pPr>
      <w:widowControl/>
      <w:spacing w:before="100" w:beforeAutospacing="1" w:after="100" w:afterAutospacing="1"/>
    </w:pPr>
    <w:rPr>
      <w:rFonts w:ascii="Times New Roman" w:hAnsi="Times New Roman"/>
      <w:sz w:val="24"/>
      <w:lang w:val="en-AU" w:eastAsia="en-AU" w:bidi="ar-SA"/>
    </w:rPr>
  </w:style>
  <w:style w:type="character" w:styleId="Emphasis">
    <w:name w:val="Emphasis"/>
    <w:basedOn w:val="DefaultParagraphFont"/>
    <w:uiPriority w:val="20"/>
    <w:qFormat/>
    <w:rsid w:val="00F771AE"/>
    <w:rPr>
      <w:i/>
      <w:iCs/>
    </w:rPr>
  </w:style>
  <w:style w:type="character" w:customStyle="1" w:styleId="cf01">
    <w:name w:val="cf01"/>
    <w:basedOn w:val="DefaultParagraphFont"/>
    <w:rsid w:val="005C41E6"/>
    <w:rPr>
      <w:rFonts w:ascii="Segoe UI" w:hAnsi="Segoe UI" w:cs="Segoe UI" w:hint="default"/>
      <w:sz w:val="18"/>
      <w:szCs w:val="18"/>
    </w:rPr>
  </w:style>
  <w:style w:type="paragraph" w:customStyle="1" w:styleId="pf0">
    <w:name w:val="pf0"/>
    <w:basedOn w:val="Normal"/>
    <w:rsid w:val="007A6086"/>
    <w:pPr>
      <w:widowControl/>
      <w:spacing w:before="100" w:beforeAutospacing="1" w:after="100" w:afterAutospacing="1"/>
    </w:pPr>
    <w:rPr>
      <w:rFonts w:ascii="Times New Roman" w:hAnsi="Times New Roman"/>
      <w:sz w:val="24"/>
      <w:lang w:val="en-AU" w:eastAsia="en-AU" w:bidi="ar-SA"/>
    </w:rPr>
  </w:style>
  <w:style w:type="character" w:customStyle="1" w:styleId="cf21">
    <w:name w:val="cf21"/>
    <w:basedOn w:val="DefaultParagraphFont"/>
    <w:rsid w:val="007A60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2980">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48395635">
      <w:bodyDiv w:val="1"/>
      <w:marLeft w:val="0"/>
      <w:marRight w:val="0"/>
      <w:marTop w:val="0"/>
      <w:marBottom w:val="0"/>
      <w:divBdr>
        <w:top w:val="none" w:sz="0" w:space="0" w:color="auto"/>
        <w:left w:val="none" w:sz="0" w:space="0" w:color="auto"/>
        <w:bottom w:val="none" w:sz="0" w:space="0" w:color="auto"/>
        <w:right w:val="none" w:sz="0" w:space="0" w:color="auto"/>
      </w:divBdr>
    </w:div>
    <w:div w:id="972708621">
      <w:bodyDiv w:val="1"/>
      <w:marLeft w:val="0"/>
      <w:marRight w:val="0"/>
      <w:marTop w:val="0"/>
      <w:marBottom w:val="0"/>
      <w:divBdr>
        <w:top w:val="none" w:sz="0" w:space="0" w:color="auto"/>
        <w:left w:val="none" w:sz="0" w:space="0" w:color="auto"/>
        <w:bottom w:val="none" w:sz="0" w:space="0" w:color="auto"/>
        <w:right w:val="none" w:sz="0" w:space="0" w:color="auto"/>
      </w:divBdr>
    </w:div>
    <w:div w:id="1096360568">
      <w:bodyDiv w:val="1"/>
      <w:marLeft w:val="0"/>
      <w:marRight w:val="0"/>
      <w:marTop w:val="0"/>
      <w:marBottom w:val="0"/>
      <w:divBdr>
        <w:top w:val="none" w:sz="0" w:space="0" w:color="auto"/>
        <w:left w:val="none" w:sz="0" w:space="0" w:color="auto"/>
        <w:bottom w:val="none" w:sz="0" w:space="0" w:color="auto"/>
        <w:right w:val="none" w:sz="0" w:space="0" w:color="auto"/>
      </w:divBdr>
    </w:div>
    <w:div w:id="159666540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1989237330">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standards.management@foodstandards.gov.au" TargetMode="External"/><Relationship Id="rId26" Type="http://schemas.openxmlformats.org/officeDocument/2006/relationships/hyperlink" Target="https://infostore.saiglobal.com/en-au/standards/as-5300-2019-111200_saig_as_as_2741382/" TargetMode="External"/><Relationship Id="rId39" Type="http://schemas.openxmlformats.org/officeDocument/2006/relationships/hyperlink" Target="https://www.foodchemicalscodex.org/" TargetMode="External"/><Relationship Id="rId21" Type="http://schemas.openxmlformats.org/officeDocument/2006/relationships/footer" Target="footer1.xml"/><Relationship Id="rId34" Type="http://schemas.openxmlformats.org/officeDocument/2006/relationships/hyperlink" Target="https://www.legislation.gov.au/Details/F2021L00317"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ubmissions@foodstandards.gov.au" TargetMode="External"/><Relationship Id="rId25" Type="http://schemas.openxmlformats.org/officeDocument/2006/relationships/image" Target="media/image2.png"/><Relationship Id="rId33" Type="http://schemas.openxmlformats.org/officeDocument/2006/relationships/hyperlink" Target="http://www.trove.nla.gov.au/" TargetMode="External"/><Relationship Id="rId38" Type="http://schemas.openxmlformats.org/officeDocument/2006/relationships/hyperlink" Target="https://www.oiv.int/standards/international-oenological-codex" TargetMode="External"/><Relationship Id="rId2" Type="http://schemas.openxmlformats.org/officeDocument/2006/relationships/customXml" Target="../customXml/item2.xml"/><Relationship Id="rId16" Type="http://schemas.openxmlformats.org/officeDocument/2006/relationships/hyperlink" Target="https://www.foodstandards.gov.au/pages/privacy-policy.aspx" TargetMode="External"/><Relationship Id="rId20" Type="http://schemas.openxmlformats.org/officeDocument/2006/relationships/header" Target="header2.xml"/><Relationship Id="rId29" Type="http://schemas.openxmlformats.org/officeDocument/2006/relationships/hyperlink" Target="http://www.legislation.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www.fishnames.com.au" TargetMode="External"/><Relationship Id="rId37" Type="http://schemas.openxmlformats.org/officeDocument/2006/relationships/hyperlink" Target="https://www.fao.org/food/food-safety-quality/scientific-advice/jecfa/jecfa-additives/en/" TargetMode="External"/><Relationship Id="rId40" Type="http://schemas.openxmlformats.org/officeDocument/2006/relationships/hyperlink" Target="http://www.trove.nla.gov.au/" TargetMode="External"/><Relationship Id="rId5" Type="http://schemas.openxmlformats.org/officeDocument/2006/relationships/customXml" Target="../customXml/item5.xml"/><Relationship Id="rId15" Type="http://schemas.openxmlformats.org/officeDocument/2006/relationships/hyperlink" Target="hhttps://www.foodstandards.gov.au/code/changes/Pages/Documents-for-public-comment.aspx" TargetMode="External"/><Relationship Id="rId23" Type="http://schemas.openxmlformats.org/officeDocument/2006/relationships/header" Target="header3.xml"/><Relationship Id="rId28" Type="http://schemas.openxmlformats.org/officeDocument/2006/relationships/hyperlink" Target="https://www.mpi.govt.nz/food-business/seafood-processing-storage-testing/fish-names-labelling-requirements/" TargetMode="External"/><Relationship Id="rId36" Type="http://schemas.openxmlformats.org/officeDocument/2006/relationships/hyperlink" Target="https://www.legislation.gov.au/Details/F2021L00317"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www.femaflavor.org/publications/gras-publications/gras-3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oodstandards.gov.au/code/changes/Pages/Documents-for-public-comment.aspx" TargetMode="External"/><Relationship Id="rId22" Type="http://schemas.openxmlformats.org/officeDocument/2006/relationships/footer" Target="footer2.xml"/><Relationship Id="rId27" Type="http://schemas.openxmlformats.org/officeDocument/2006/relationships/hyperlink" Target="https://aus01.safelinks.protection.outlook.com/?url=http%3A%2F%2Fwww.fishnames.com.au%2F&amp;data=05%7C01%7CSharon.Scully%40foodstandards.gov.au%7C7bb426e0519b40f966d308dac91cb426%7C6deea5ad8e7945b888fe895f2bb48673%7C0%7C0%7C638043422367543474%7CUnknown%7CTWFpbGZsb3d8eyJWIjoiMC4wLjAwMDAiLCJQIjoiV2luMzIiLCJBTiI6Ik1haWwiLCJXVCI6Mn0%3D%7C3000%7C%7C%7C&amp;sdata=bDtTctFPd9K%2B5FcGWE6zmGVjal9vDPq3QpmGVvUlQUI%3D&amp;reserved=0" TargetMode="External"/><Relationship Id="rId30" Type="http://schemas.openxmlformats.org/officeDocument/2006/relationships/hyperlink" Target="https://www.govinfo.gov/app/collection/cfr" TargetMode="External"/><Relationship Id="rId35" Type="http://schemas.openxmlformats.org/officeDocument/2006/relationships/hyperlink" Target="https://www.nhmrc.gov.au/about-us/publications/australian-drinking-water-guidelines"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Props1.xml><?xml version="1.0" encoding="utf-8"?>
<ds:datastoreItem xmlns:ds="http://schemas.openxmlformats.org/officeDocument/2006/customXml" ds:itemID="{B20A6747-93CD-419F-9DE5-0082AF2A70B4}"/>
</file>

<file path=customXml/itemProps2.xml><?xml version="1.0" encoding="utf-8"?>
<ds:datastoreItem xmlns:ds="http://schemas.openxmlformats.org/officeDocument/2006/customXml" ds:itemID="{3A10FA6E-0B26-43C2-9D68-F35B0093F7E2}"/>
</file>

<file path=customXml/itemProps3.xml><?xml version="1.0" encoding="utf-8"?>
<ds:datastoreItem xmlns:ds="http://schemas.openxmlformats.org/officeDocument/2006/customXml" ds:itemID="{B08697D5-4406-4C47-B45E-96B7891CB634}">
  <ds:schemaRefs>
    <ds:schemaRef ds:uri="Microsoft.SharePoint.Taxonomy.ContentTypeSync"/>
  </ds:schemaRefs>
</ds:datastoreItem>
</file>

<file path=customXml/itemProps4.xml><?xml version="1.0" encoding="utf-8"?>
<ds:datastoreItem xmlns:ds="http://schemas.openxmlformats.org/officeDocument/2006/customXml" ds:itemID="{7BFA7558-5012-4152-97FC-43D28F5EE4ED}"/>
</file>

<file path=customXml/itemProps5.xml><?xml version="1.0" encoding="utf-8"?>
<ds:datastoreItem xmlns:ds="http://schemas.openxmlformats.org/officeDocument/2006/customXml" ds:itemID="{0E1690AC-11C1-4EDA-B6C4-25F35AE7DFBF}"/>
</file>

<file path=customXml/itemProps6.xml><?xml version="1.0" encoding="utf-8"?>
<ds:datastoreItem xmlns:ds="http://schemas.openxmlformats.org/officeDocument/2006/customXml" ds:itemID="{4F789461-CFB0-40D1-81E2-077701F08423}"/>
</file>

<file path=docProps/app.xml><?xml version="1.0" encoding="utf-8"?>
<Properties xmlns="http://schemas.openxmlformats.org/officeDocument/2006/extended-properties" xmlns:vt="http://schemas.openxmlformats.org/officeDocument/2006/docPropsVTypes">
  <Template>Normal</Template>
  <TotalTime>0</TotalTime>
  <Pages>23</Pages>
  <Words>6479</Words>
  <Characters>36932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43325</CharactersWithSpaces>
  <SharedDoc>false</SharedDoc>
  <HLinks>
    <vt:vector size="240" baseType="variant">
      <vt:variant>
        <vt:i4>327692</vt:i4>
      </vt:variant>
      <vt:variant>
        <vt:i4>174</vt:i4>
      </vt:variant>
      <vt:variant>
        <vt:i4>0</vt:i4>
      </vt:variant>
      <vt:variant>
        <vt:i4>5</vt:i4>
      </vt:variant>
      <vt:variant>
        <vt:lpwstr>http://www.trove.nla.gov.au/</vt:lpwstr>
      </vt:variant>
      <vt:variant>
        <vt:lpwstr/>
      </vt:variant>
      <vt:variant>
        <vt:i4>4063330</vt:i4>
      </vt:variant>
      <vt:variant>
        <vt:i4>171</vt:i4>
      </vt:variant>
      <vt:variant>
        <vt:i4>0</vt:i4>
      </vt:variant>
      <vt:variant>
        <vt:i4>5</vt:i4>
      </vt:variant>
      <vt:variant>
        <vt:lpwstr>https://www.foodchemicalscodex.org/</vt:lpwstr>
      </vt:variant>
      <vt:variant>
        <vt:lpwstr/>
      </vt:variant>
      <vt:variant>
        <vt:i4>393300</vt:i4>
      </vt:variant>
      <vt:variant>
        <vt:i4>168</vt:i4>
      </vt:variant>
      <vt:variant>
        <vt:i4>0</vt:i4>
      </vt:variant>
      <vt:variant>
        <vt:i4>5</vt:i4>
      </vt:variant>
      <vt:variant>
        <vt:lpwstr>https://www.oiv.int/standards/international-oenological-codex</vt:lpwstr>
      </vt:variant>
      <vt:variant>
        <vt:lpwstr/>
      </vt:variant>
      <vt:variant>
        <vt:i4>458764</vt:i4>
      </vt:variant>
      <vt:variant>
        <vt:i4>165</vt:i4>
      </vt:variant>
      <vt:variant>
        <vt:i4>0</vt:i4>
      </vt:variant>
      <vt:variant>
        <vt:i4>5</vt:i4>
      </vt:variant>
      <vt:variant>
        <vt:lpwstr>https://www.fao.org/food/food-safety-quality/scientific-advice/jecfa/jecfa-additives/en/</vt:lpwstr>
      </vt:variant>
      <vt:variant>
        <vt:lpwstr/>
      </vt:variant>
      <vt:variant>
        <vt:i4>7340075</vt:i4>
      </vt:variant>
      <vt:variant>
        <vt:i4>162</vt:i4>
      </vt:variant>
      <vt:variant>
        <vt:i4>0</vt:i4>
      </vt:variant>
      <vt:variant>
        <vt:i4>5</vt:i4>
      </vt:variant>
      <vt:variant>
        <vt:lpwstr>https://www.legislation.gov.au/Details/F2021L00317</vt:lpwstr>
      </vt:variant>
      <vt:variant>
        <vt:lpwstr/>
      </vt:variant>
      <vt:variant>
        <vt:i4>4063356</vt:i4>
      </vt:variant>
      <vt:variant>
        <vt:i4>159</vt:i4>
      </vt:variant>
      <vt:variant>
        <vt:i4>0</vt:i4>
      </vt:variant>
      <vt:variant>
        <vt:i4>5</vt:i4>
      </vt:variant>
      <vt:variant>
        <vt:lpwstr>https://www.nhmrc.gov.au/about-us/publications/australian-drinking-water-guidelines</vt:lpwstr>
      </vt:variant>
      <vt:variant>
        <vt:lpwstr/>
      </vt:variant>
      <vt:variant>
        <vt:i4>7340075</vt:i4>
      </vt:variant>
      <vt:variant>
        <vt:i4>156</vt:i4>
      </vt:variant>
      <vt:variant>
        <vt:i4>0</vt:i4>
      </vt:variant>
      <vt:variant>
        <vt:i4>5</vt:i4>
      </vt:variant>
      <vt:variant>
        <vt:lpwstr>https://www.legislation.gov.au/Details/F2021L00317</vt:lpwstr>
      </vt:variant>
      <vt:variant>
        <vt:lpwstr/>
      </vt:variant>
      <vt:variant>
        <vt:i4>327692</vt:i4>
      </vt:variant>
      <vt:variant>
        <vt:i4>153</vt:i4>
      </vt:variant>
      <vt:variant>
        <vt:i4>0</vt:i4>
      </vt:variant>
      <vt:variant>
        <vt:i4>5</vt:i4>
      </vt:variant>
      <vt:variant>
        <vt:lpwstr>http://www.trove.nla.gov.au/</vt:lpwstr>
      </vt:variant>
      <vt:variant>
        <vt:lpwstr/>
      </vt:variant>
      <vt:variant>
        <vt:i4>917583</vt:i4>
      </vt:variant>
      <vt:variant>
        <vt:i4>150</vt:i4>
      </vt:variant>
      <vt:variant>
        <vt:i4>0</vt:i4>
      </vt:variant>
      <vt:variant>
        <vt:i4>5</vt:i4>
      </vt:variant>
      <vt:variant>
        <vt:lpwstr>http://www.fishnames.com.au/</vt:lpwstr>
      </vt:variant>
      <vt:variant>
        <vt:lpwstr/>
      </vt:variant>
      <vt:variant>
        <vt:i4>2031696</vt:i4>
      </vt:variant>
      <vt:variant>
        <vt:i4>147</vt:i4>
      </vt:variant>
      <vt:variant>
        <vt:i4>0</vt:i4>
      </vt:variant>
      <vt:variant>
        <vt:i4>5</vt:i4>
      </vt:variant>
      <vt:variant>
        <vt:lpwstr>https://www.femaflavor.org/publications/gras-publications/gras-30</vt:lpwstr>
      </vt:variant>
      <vt:variant>
        <vt:lpwstr/>
      </vt:variant>
      <vt:variant>
        <vt:i4>7274600</vt:i4>
      </vt:variant>
      <vt:variant>
        <vt:i4>144</vt:i4>
      </vt:variant>
      <vt:variant>
        <vt:i4>0</vt:i4>
      </vt:variant>
      <vt:variant>
        <vt:i4>5</vt:i4>
      </vt:variant>
      <vt:variant>
        <vt:lpwstr>https://www.govinfo.gov/app/collection/cfr</vt:lpwstr>
      </vt:variant>
      <vt:variant>
        <vt:lpwstr/>
      </vt:variant>
      <vt:variant>
        <vt:i4>6946865</vt:i4>
      </vt:variant>
      <vt:variant>
        <vt:i4>141</vt:i4>
      </vt:variant>
      <vt:variant>
        <vt:i4>0</vt:i4>
      </vt:variant>
      <vt:variant>
        <vt:i4>5</vt:i4>
      </vt:variant>
      <vt:variant>
        <vt:lpwstr>http://www.legislation.gov.au/</vt:lpwstr>
      </vt:variant>
      <vt:variant>
        <vt:lpwstr/>
      </vt:variant>
      <vt:variant>
        <vt:i4>7340131</vt:i4>
      </vt:variant>
      <vt:variant>
        <vt:i4>138</vt:i4>
      </vt:variant>
      <vt:variant>
        <vt:i4>0</vt:i4>
      </vt:variant>
      <vt:variant>
        <vt:i4>5</vt:i4>
      </vt:variant>
      <vt:variant>
        <vt:lpwstr>https://www.mpi.govt.nz/food-business/seafood-processing-storage-testing/fish-names-labelling-requirements/</vt:lpwstr>
      </vt:variant>
      <vt:variant>
        <vt:lpwstr/>
      </vt:variant>
      <vt:variant>
        <vt:i4>7798843</vt:i4>
      </vt:variant>
      <vt:variant>
        <vt:i4>135</vt:i4>
      </vt:variant>
      <vt:variant>
        <vt:i4>0</vt:i4>
      </vt:variant>
      <vt:variant>
        <vt:i4>5</vt:i4>
      </vt:variant>
      <vt:variant>
        <vt:lpwstr>https://aus01.safelinks.protection.outlook.com/?url=http%3A%2F%2Fwww.fishnames.com.au%2F&amp;data=05%7C01%7CSharon.Scully%40foodstandards.gov.au%7C7bb426e0519b40f966d308dac91cb426%7C6deea5ad8e7945b888fe895f2bb48673%7C0%7C0%7C638043422367543474%7CUnknown%7CTWFpbGZsb3d8eyJWIjoiMC4wLjAwMDAiLCJQIjoiV2luMzIiLCJBTiI6Ik1haWwiLCJXVCI6Mn0%3D%7C3000%7C%7C%7C&amp;sdata=bDtTctFPd9K%2B5FcGWE6zmGVjal9vDPq3QpmGVvUlQUI%3D&amp;reserved=0</vt:lpwstr>
      </vt:variant>
      <vt:variant>
        <vt:lpwstr/>
      </vt:variant>
      <vt:variant>
        <vt:i4>4128878</vt:i4>
      </vt:variant>
      <vt:variant>
        <vt:i4>132</vt:i4>
      </vt:variant>
      <vt:variant>
        <vt:i4>0</vt:i4>
      </vt:variant>
      <vt:variant>
        <vt:i4>5</vt:i4>
      </vt:variant>
      <vt:variant>
        <vt:lpwstr>https://infostore.saiglobal.com/en-au/standards/as-5300-2019-111200_saig_as_as_2741382/</vt:lpwstr>
      </vt:variant>
      <vt:variant>
        <vt:lpwstr/>
      </vt:variant>
      <vt:variant>
        <vt:i4>1114174</vt:i4>
      </vt:variant>
      <vt:variant>
        <vt:i4>125</vt:i4>
      </vt:variant>
      <vt:variant>
        <vt:i4>0</vt:i4>
      </vt:variant>
      <vt:variant>
        <vt:i4>5</vt:i4>
      </vt:variant>
      <vt:variant>
        <vt:lpwstr/>
      </vt:variant>
      <vt:variant>
        <vt:lpwstr>_Toc122695474</vt:lpwstr>
      </vt:variant>
      <vt:variant>
        <vt:i4>1114174</vt:i4>
      </vt:variant>
      <vt:variant>
        <vt:i4>119</vt:i4>
      </vt:variant>
      <vt:variant>
        <vt:i4>0</vt:i4>
      </vt:variant>
      <vt:variant>
        <vt:i4>5</vt:i4>
      </vt:variant>
      <vt:variant>
        <vt:lpwstr/>
      </vt:variant>
      <vt:variant>
        <vt:lpwstr>_Toc122695473</vt:lpwstr>
      </vt:variant>
      <vt:variant>
        <vt:i4>1114174</vt:i4>
      </vt:variant>
      <vt:variant>
        <vt:i4>113</vt:i4>
      </vt:variant>
      <vt:variant>
        <vt:i4>0</vt:i4>
      </vt:variant>
      <vt:variant>
        <vt:i4>5</vt:i4>
      </vt:variant>
      <vt:variant>
        <vt:lpwstr/>
      </vt:variant>
      <vt:variant>
        <vt:lpwstr>_Toc122695472</vt:lpwstr>
      </vt:variant>
      <vt:variant>
        <vt:i4>1114174</vt:i4>
      </vt:variant>
      <vt:variant>
        <vt:i4>107</vt:i4>
      </vt:variant>
      <vt:variant>
        <vt:i4>0</vt:i4>
      </vt:variant>
      <vt:variant>
        <vt:i4>5</vt:i4>
      </vt:variant>
      <vt:variant>
        <vt:lpwstr/>
      </vt:variant>
      <vt:variant>
        <vt:lpwstr>_Toc122695471</vt:lpwstr>
      </vt:variant>
      <vt:variant>
        <vt:i4>1114174</vt:i4>
      </vt:variant>
      <vt:variant>
        <vt:i4>101</vt:i4>
      </vt:variant>
      <vt:variant>
        <vt:i4>0</vt:i4>
      </vt:variant>
      <vt:variant>
        <vt:i4>5</vt:i4>
      </vt:variant>
      <vt:variant>
        <vt:lpwstr/>
      </vt:variant>
      <vt:variant>
        <vt:lpwstr>_Toc122695470</vt:lpwstr>
      </vt:variant>
      <vt:variant>
        <vt:i4>1048638</vt:i4>
      </vt:variant>
      <vt:variant>
        <vt:i4>95</vt:i4>
      </vt:variant>
      <vt:variant>
        <vt:i4>0</vt:i4>
      </vt:variant>
      <vt:variant>
        <vt:i4>5</vt:i4>
      </vt:variant>
      <vt:variant>
        <vt:lpwstr/>
      </vt:variant>
      <vt:variant>
        <vt:lpwstr>_Toc122695469</vt:lpwstr>
      </vt:variant>
      <vt:variant>
        <vt:i4>1048638</vt:i4>
      </vt:variant>
      <vt:variant>
        <vt:i4>89</vt:i4>
      </vt:variant>
      <vt:variant>
        <vt:i4>0</vt:i4>
      </vt:variant>
      <vt:variant>
        <vt:i4>5</vt:i4>
      </vt:variant>
      <vt:variant>
        <vt:lpwstr/>
      </vt:variant>
      <vt:variant>
        <vt:lpwstr>_Toc122695468</vt:lpwstr>
      </vt:variant>
      <vt:variant>
        <vt:i4>1048638</vt:i4>
      </vt:variant>
      <vt:variant>
        <vt:i4>83</vt:i4>
      </vt:variant>
      <vt:variant>
        <vt:i4>0</vt:i4>
      </vt:variant>
      <vt:variant>
        <vt:i4>5</vt:i4>
      </vt:variant>
      <vt:variant>
        <vt:lpwstr/>
      </vt:variant>
      <vt:variant>
        <vt:lpwstr>_Toc122695467</vt:lpwstr>
      </vt:variant>
      <vt:variant>
        <vt:i4>1048638</vt:i4>
      </vt:variant>
      <vt:variant>
        <vt:i4>77</vt:i4>
      </vt:variant>
      <vt:variant>
        <vt:i4>0</vt:i4>
      </vt:variant>
      <vt:variant>
        <vt:i4>5</vt:i4>
      </vt:variant>
      <vt:variant>
        <vt:lpwstr/>
      </vt:variant>
      <vt:variant>
        <vt:lpwstr>_Toc122695466</vt:lpwstr>
      </vt:variant>
      <vt:variant>
        <vt:i4>1048638</vt:i4>
      </vt:variant>
      <vt:variant>
        <vt:i4>71</vt:i4>
      </vt:variant>
      <vt:variant>
        <vt:i4>0</vt:i4>
      </vt:variant>
      <vt:variant>
        <vt:i4>5</vt:i4>
      </vt:variant>
      <vt:variant>
        <vt:lpwstr/>
      </vt:variant>
      <vt:variant>
        <vt:lpwstr>_Toc122695465</vt:lpwstr>
      </vt:variant>
      <vt:variant>
        <vt:i4>1048638</vt:i4>
      </vt:variant>
      <vt:variant>
        <vt:i4>65</vt:i4>
      </vt:variant>
      <vt:variant>
        <vt:i4>0</vt:i4>
      </vt:variant>
      <vt:variant>
        <vt:i4>5</vt:i4>
      </vt:variant>
      <vt:variant>
        <vt:lpwstr/>
      </vt:variant>
      <vt:variant>
        <vt:lpwstr>_Toc122695464</vt:lpwstr>
      </vt:variant>
      <vt:variant>
        <vt:i4>1048638</vt:i4>
      </vt:variant>
      <vt:variant>
        <vt:i4>59</vt:i4>
      </vt:variant>
      <vt:variant>
        <vt:i4>0</vt:i4>
      </vt:variant>
      <vt:variant>
        <vt:i4>5</vt:i4>
      </vt:variant>
      <vt:variant>
        <vt:lpwstr/>
      </vt:variant>
      <vt:variant>
        <vt:lpwstr>_Toc122695463</vt:lpwstr>
      </vt:variant>
      <vt:variant>
        <vt:i4>1048638</vt:i4>
      </vt:variant>
      <vt:variant>
        <vt:i4>53</vt:i4>
      </vt:variant>
      <vt:variant>
        <vt:i4>0</vt:i4>
      </vt:variant>
      <vt:variant>
        <vt:i4>5</vt:i4>
      </vt:variant>
      <vt:variant>
        <vt:lpwstr/>
      </vt:variant>
      <vt:variant>
        <vt:lpwstr>_Toc122695462</vt:lpwstr>
      </vt:variant>
      <vt:variant>
        <vt:i4>1048638</vt:i4>
      </vt:variant>
      <vt:variant>
        <vt:i4>47</vt:i4>
      </vt:variant>
      <vt:variant>
        <vt:i4>0</vt:i4>
      </vt:variant>
      <vt:variant>
        <vt:i4>5</vt:i4>
      </vt:variant>
      <vt:variant>
        <vt:lpwstr/>
      </vt:variant>
      <vt:variant>
        <vt:lpwstr>_Toc122695461</vt:lpwstr>
      </vt:variant>
      <vt:variant>
        <vt:i4>1048638</vt:i4>
      </vt:variant>
      <vt:variant>
        <vt:i4>41</vt:i4>
      </vt:variant>
      <vt:variant>
        <vt:i4>0</vt:i4>
      </vt:variant>
      <vt:variant>
        <vt:i4>5</vt:i4>
      </vt:variant>
      <vt:variant>
        <vt:lpwstr/>
      </vt:variant>
      <vt:variant>
        <vt:lpwstr>_Toc122695460</vt:lpwstr>
      </vt:variant>
      <vt:variant>
        <vt:i4>1245246</vt:i4>
      </vt:variant>
      <vt:variant>
        <vt:i4>35</vt:i4>
      </vt:variant>
      <vt:variant>
        <vt:i4>0</vt:i4>
      </vt:variant>
      <vt:variant>
        <vt:i4>5</vt:i4>
      </vt:variant>
      <vt:variant>
        <vt:lpwstr/>
      </vt:variant>
      <vt:variant>
        <vt:lpwstr>_Toc122695459</vt:lpwstr>
      </vt:variant>
      <vt:variant>
        <vt:i4>1245246</vt:i4>
      </vt:variant>
      <vt:variant>
        <vt:i4>29</vt:i4>
      </vt:variant>
      <vt:variant>
        <vt:i4>0</vt:i4>
      </vt:variant>
      <vt:variant>
        <vt:i4>5</vt:i4>
      </vt:variant>
      <vt:variant>
        <vt:lpwstr/>
      </vt:variant>
      <vt:variant>
        <vt:lpwstr>_Toc122695458</vt:lpwstr>
      </vt:variant>
      <vt:variant>
        <vt:i4>1245246</vt:i4>
      </vt:variant>
      <vt:variant>
        <vt:i4>23</vt:i4>
      </vt:variant>
      <vt:variant>
        <vt:i4>0</vt:i4>
      </vt:variant>
      <vt:variant>
        <vt:i4>5</vt:i4>
      </vt:variant>
      <vt:variant>
        <vt:lpwstr/>
      </vt:variant>
      <vt:variant>
        <vt:lpwstr>_Toc122695457</vt:lpwstr>
      </vt:variant>
      <vt:variant>
        <vt:i4>1245246</vt:i4>
      </vt:variant>
      <vt:variant>
        <vt:i4>17</vt:i4>
      </vt:variant>
      <vt:variant>
        <vt:i4>0</vt:i4>
      </vt:variant>
      <vt:variant>
        <vt:i4>5</vt:i4>
      </vt:variant>
      <vt:variant>
        <vt:lpwstr/>
      </vt:variant>
      <vt:variant>
        <vt:lpwstr>_Toc122695456</vt:lpwstr>
      </vt:variant>
      <vt:variant>
        <vt:i4>3932161</vt:i4>
      </vt:variant>
      <vt:variant>
        <vt:i4>12</vt:i4>
      </vt:variant>
      <vt:variant>
        <vt:i4>0</vt:i4>
      </vt:variant>
      <vt:variant>
        <vt:i4>5</vt:i4>
      </vt:variant>
      <vt:variant>
        <vt:lpwstr>mailto:standards.management@foodstandards.gov.au</vt:lpwstr>
      </vt:variant>
      <vt:variant>
        <vt:lpwstr/>
      </vt:variant>
      <vt:variant>
        <vt:i4>8060957</vt:i4>
      </vt:variant>
      <vt:variant>
        <vt:i4>9</vt:i4>
      </vt:variant>
      <vt:variant>
        <vt:i4>0</vt:i4>
      </vt:variant>
      <vt:variant>
        <vt:i4>5</vt:i4>
      </vt:variant>
      <vt:variant>
        <vt:lpwstr>mailto:submissions@foodstandards.gov.au</vt:lpwstr>
      </vt:variant>
      <vt:variant>
        <vt:lpwstr/>
      </vt:variant>
      <vt:variant>
        <vt:i4>7929966</vt:i4>
      </vt:variant>
      <vt:variant>
        <vt:i4>6</vt:i4>
      </vt:variant>
      <vt:variant>
        <vt:i4>0</vt:i4>
      </vt:variant>
      <vt:variant>
        <vt:i4>5</vt:i4>
      </vt:variant>
      <vt:variant>
        <vt:lpwstr>https://www.foodstandards.gov.au/pages/privacy-policy.aspx</vt:lpwstr>
      </vt:variant>
      <vt:variant>
        <vt:lpwstr/>
      </vt:variant>
      <vt:variant>
        <vt:i4>6619249</vt:i4>
      </vt:variant>
      <vt:variant>
        <vt:i4>3</vt:i4>
      </vt:variant>
      <vt:variant>
        <vt:i4>0</vt:i4>
      </vt:variant>
      <vt:variant>
        <vt:i4>5</vt:i4>
      </vt:variant>
      <vt:variant>
        <vt:lpwstr>hhttps://www.foodstandards.gov.au/code/changes/Pages/Documents-for-public-comment.aspx</vt:lpwstr>
      </vt:variant>
      <vt:variant>
        <vt:lpwstr/>
      </vt:variant>
      <vt:variant>
        <vt:i4>1638429</vt:i4>
      </vt:variant>
      <vt:variant>
        <vt:i4>0</vt:i4>
      </vt:variant>
      <vt:variant>
        <vt:i4>0</vt:i4>
      </vt:variant>
      <vt:variant>
        <vt:i4>5</vt:i4>
      </vt:variant>
      <vt:variant>
        <vt:lpwstr>https://www.foodstandards.gov.au/code/changes/Pages/Documents-for-public-comment.aspx</vt:lpwstr>
      </vt:variant>
      <vt:variant>
        <vt:lpwstr/>
      </vt:variant>
      <vt:variant>
        <vt:i4>327745</vt:i4>
      </vt:variant>
      <vt:variant>
        <vt:i4>0</vt:i4>
      </vt:variant>
      <vt:variant>
        <vt:i4>0</vt:i4>
      </vt:variant>
      <vt:variant>
        <vt:i4>5</vt:i4>
      </vt:variant>
      <vt:variant>
        <vt:lpwstr>https://catalogue.nla.gov.au/Record/8079809?lookfor=australian%20fish%20names%20standard&amp;offset=1&amp;max=1847453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sculls</dc:creator>
  <cp:keywords/>
  <cp:lastModifiedBy>Tailee Vecchi</cp:lastModifiedBy>
  <cp:revision>2</cp:revision>
  <cp:lastPrinted>2023-01-25T02:50:00Z</cp:lastPrinted>
  <dcterms:created xsi:type="dcterms:W3CDTF">2023-01-25T02:51:00Z</dcterms:created>
  <dcterms:modified xsi:type="dcterms:W3CDTF">2023-01-25T02:51:00Z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61d67753-c2f0-48e0-86a0-14915a1b6d3a</vt:lpwstr>
  </property>
  <property fmtid="{D5CDD505-2E9C-101B-9397-08002B2CF9AE}" pid="4" name="bjSaver">
    <vt:lpwstr>LlgSMo3yJ+fkgNEgbtQQbG6KKfc49ivc</vt:lpwstr>
  </property>
  <property fmtid="{D5CDD505-2E9C-101B-9397-08002B2CF9AE}" pid="5" name="ContentTypeId">
    <vt:lpwstr>0x010100FB86A4CA77FAD24FB4C8632D8CBF0C4A</vt:lpwstr>
  </property>
  <property fmtid="{D5CDD505-2E9C-101B-9397-08002B2CF9AE}" pid="6" name="_dlc_DocIdItemGuid">
    <vt:lpwstr>a72497e0-a82c-48b6-8043-d88ff2d63d55</vt:lpwstr>
  </property>
  <property fmtid="{D5CDD505-2E9C-101B-9397-08002B2CF9AE}" pid="7" name="DisposalClass">
    <vt:lpwstr/>
  </property>
  <property fmtid="{D5CDD505-2E9C-101B-9397-08002B2CF9AE}" pid="8" name="BCS_">
    <vt:lpwstr>429;#Call for Submissions|8cfb1c27-19a6-4349-9bee-b620975c20b4</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uid="dd6c74cc-0de9-4a0a-85ef-439e2ceecf74" value="" /&gt;&lt;/sisl&gt;</vt:lpwstr>
  </property>
  <property fmtid="{D5CDD505-2E9C-101B-9397-08002B2CF9AE}" pid="11" name="bjDocumentSecurityLabel">
    <vt:lpwstr>OFFICIAL</vt:lpwstr>
  </property>
  <property fmtid="{D5CDD505-2E9C-101B-9397-08002B2CF9AE}" pid="12" name="bjHeaderBothDocProperty">
    <vt:lpwstr>OFFICIAL_x000d_
 </vt:lpwstr>
  </property>
  <property fmtid="{D5CDD505-2E9C-101B-9397-08002B2CF9AE}" pid="13" name="bjHeaderFirstPageDocProperty">
    <vt:lpwstr>OFFICIAL_x000d_
 </vt:lpwstr>
  </property>
  <property fmtid="{D5CDD505-2E9C-101B-9397-08002B2CF9AE}" pid="14" name="bjHeaderEvenPageDocProperty">
    <vt:lpwstr>OFFICIAL_x000d_
 </vt:lpwstr>
  </property>
  <property fmtid="{D5CDD505-2E9C-101B-9397-08002B2CF9AE}" pid="15" name="bjFooterBothDocProperty">
    <vt:lpwstr>_x000d_
OFFICIAL </vt:lpwstr>
  </property>
  <property fmtid="{D5CDD505-2E9C-101B-9397-08002B2CF9AE}" pid="16" name="bjFooterFirstPageDocProperty">
    <vt:lpwstr>_x000d_
OFFICIAL </vt:lpwstr>
  </property>
  <property fmtid="{D5CDD505-2E9C-101B-9397-08002B2CF9AE}" pid="17" name="bjFooterEvenPageDocProperty">
    <vt:lpwstr>_x000d_
OFFICIAL </vt:lpwstr>
  </property>
  <property fmtid="{D5CDD505-2E9C-101B-9397-08002B2CF9AE}" pid="18" name="bjClsUserRVM">
    <vt:lpwstr>[]</vt:lpwstr>
  </property>
  <property fmtid="{D5CDD505-2E9C-101B-9397-08002B2CF9AE}" pid="19" name="m5a168ed04b248b3bef91ad6e7b635a1">
    <vt:lpwstr>OFFICIAL|3776503d-ed4e-4d70-8dfd-8e17b238523b</vt:lpwstr>
  </property>
  <property fmtid="{D5CDD505-2E9C-101B-9397-08002B2CF9AE}" pid="20" name="TaxCatchAll">
    <vt:lpwstr>1;#OFFICIAL</vt:lpwstr>
  </property>
  <property fmtid="{D5CDD505-2E9C-101B-9397-08002B2CF9AE}" pid="21" name="pd3a3559ef84480a8025c4c7bb6e6dee">
    <vt:lpwstr/>
  </property>
  <property fmtid="{D5CDD505-2E9C-101B-9397-08002B2CF9AE}" pid="22" name="h46016694f704d158a57d0b5238c000e">
    <vt:lpwstr/>
  </property>
  <property fmtid="{D5CDD505-2E9C-101B-9397-08002B2CF9AE}" pid="23" name="Data_x0020_Privacy">
    <vt:lpwstr/>
  </property>
  <property fmtid="{D5CDD505-2E9C-101B-9397-08002B2CF9AE}" pid="24" name="BCS">
    <vt:lpwstr>4;#Evaluation|43cb9915-dbd2-4e45-b39d-7bc5c58c72da</vt:lpwstr>
  </property>
  <property fmtid="{D5CDD505-2E9C-101B-9397-08002B2CF9AE}" pid="25" name="Access">
    <vt:lpwstr/>
  </property>
  <property fmtid="{D5CDD505-2E9C-101B-9397-08002B2CF9AE}" pid="26" name="Classification">
    <vt:lpwstr>1;#OFFICIAL|3776503d-ed4e-4d70-8dfd-8e17b238523b</vt:lpwstr>
  </property>
  <property fmtid="{D5CDD505-2E9C-101B-9397-08002B2CF9AE}" pid="27" name="Data_x0020_Category">
    <vt:lpwstr/>
  </property>
  <property fmtid="{D5CDD505-2E9C-101B-9397-08002B2CF9AE}" pid="28" name="Data_x0020_Accessibility">
    <vt:lpwstr/>
  </property>
  <property fmtid="{D5CDD505-2E9C-101B-9397-08002B2CF9AE}" pid="29" name="o2e94e0b7bb742308b3aec7384781dc0">
    <vt:lpwstr/>
  </property>
  <property fmtid="{D5CDD505-2E9C-101B-9397-08002B2CF9AE}" pid="30" name="Data Privacy">
    <vt:lpwstr/>
  </property>
  <property fmtid="{D5CDD505-2E9C-101B-9397-08002B2CF9AE}" pid="31" name="Data Accessibility">
    <vt:lpwstr/>
  </property>
  <property fmtid="{D5CDD505-2E9C-101B-9397-08002B2CF9AE}" pid="32" name="Data Category">
    <vt:lpwstr/>
  </property>
</Properties>
</file>